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0" w:rsidRPr="007801C7" w:rsidRDefault="00E543E0" w:rsidP="00E543E0">
      <w:pPr>
        <w:ind w:left="3600"/>
        <w:jc w:val="both"/>
        <w:rPr>
          <w:rFonts w:ascii="Times New Roman" w:hAnsi="Times New Roman" w:cs="Times New Roman"/>
          <w:b/>
          <w:lang w:val="bg-BG"/>
        </w:rPr>
      </w:pPr>
      <w:r w:rsidRPr="007801C7">
        <w:rPr>
          <w:rFonts w:ascii="Times New Roman" w:hAnsi="Times New Roman" w:cs="Times New Roman"/>
          <w:b/>
          <w:lang w:val="bg-BG"/>
        </w:rPr>
        <w:t>ДО</w:t>
      </w:r>
    </w:p>
    <w:p w:rsidR="00E543E0" w:rsidRPr="007801C7" w:rsidRDefault="00E543E0" w:rsidP="00E543E0">
      <w:pPr>
        <w:ind w:left="3600"/>
        <w:jc w:val="both"/>
        <w:rPr>
          <w:rFonts w:ascii="Times New Roman" w:hAnsi="Times New Roman" w:cs="Times New Roman"/>
          <w:b/>
          <w:lang w:val="bg-BG"/>
        </w:rPr>
      </w:pPr>
      <w:r w:rsidRPr="007801C7">
        <w:rPr>
          <w:rFonts w:ascii="Times New Roman" w:hAnsi="Times New Roman" w:cs="Times New Roman"/>
          <w:b/>
          <w:lang w:val="bg-BG"/>
        </w:rPr>
        <w:t>ВСИЧКИ ЗАИНТЕРЕСОВАНИ ЛИЦА</w:t>
      </w:r>
    </w:p>
    <w:p w:rsidR="008D0734" w:rsidRPr="007801C7" w:rsidRDefault="008D0734">
      <w:pPr>
        <w:rPr>
          <w:rFonts w:ascii="Times New Roman" w:hAnsi="Times New Roman" w:cs="Times New Roman"/>
          <w:lang w:val="bg-BG"/>
        </w:rPr>
      </w:pPr>
    </w:p>
    <w:p w:rsidR="00E543E0" w:rsidRPr="007801C7" w:rsidRDefault="00E543E0">
      <w:pPr>
        <w:rPr>
          <w:rFonts w:ascii="Times New Roman" w:hAnsi="Times New Roman" w:cs="Times New Roman"/>
          <w:lang w:val="bg-BG"/>
        </w:rPr>
      </w:pPr>
    </w:p>
    <w:p w:rsidR="00E543E0" w:rsidRPr="007801C7" w:rsidRDefault="00E543E0" w:rsidP="007801C7">
      <w:pPr>
        <w:ind w:left="1440" w:hanging="1440"/>
        <w:jc w:val="both"/>
        <w:rPr>
          <w:rFonts w:ascii="Times New Roman" w:hAnsi="Times New Roman" w:cs="Times New Roman"/>
          <w:b/>
          <w:lang w:val="bg-BG"/>
        </w:rPr>
      </w:pPr>
      <w:r w:rsidRPr="007801C7">
        <w:rPr>
          <w:rFonts w:ascii="Times New Roman" w:hAnsi="Times New Roman" w:cs="Times New Roman"/>
          <w:b/>
          <w:lang w:val="bg-BG"/>
        </w:rPr>
        <w:t>ОТНОСНО:</w:t>
      </w:r>
      <w:r w:rsidR="007801C7" w:rsidRPr="007801C7">
        <w:rPr>
          <w:rFonts w:ascii="Times New Roman" w:hAnsi="Times New Roman" w:cs="Times New Roman"/>
          <w:b/>
          <w:lang w:val="bg-BG"/>
        </w:rPr>
        <w:tab/>
      </w:r>
      <w:r w:rsidRPr="007801C7">
        <w:rPr>
          <w:rFonts w:ascii="Times New Roman" w:hAnsi="Times New Roman" w:cs="Times New Roman"/>
          <w:lang w:val="bg-BG"/>
        </w:rPr>
        <w:t>Разяснения по документация за участие в процедура за възлагане на обществена поръчка с предмет:</w:t>
      </w:r>
      <w:r w:rsidRPr="007801C7">
        <w:rPr>
          <w:rFonts w:ascii="Times New Roman" w:hAnsi="Times New Roman" w:cs="Times New Roman"/>
          <w:b/>
          <w:lang w:val="bg-BG"/>
        </w:rPr>
        <w:t xml:space="preserve"> </w:t>
      </w:r>
      <w:r w:rsidRPr="007801C7">
        <w:rPr>
          <w:rFonts w:ascii="Times New Roman" w:hAnsi="Times New Roman" w:cs="Times New Roman"/>
          <w:color w:val="3F3F3F"/>
          <w:lang w:val="bg-BG"/>
        </w:rPr>
        <w:t>“Изпълнение на строителни и монтажни работи по проект “Зелена и достъпна среда на град Гоце Делчев”, финансиран по Оперативна програма “Регионално развитие” 2007-2013г.”</w:t>
      </w:r>
    </w:p>
    <w:p w:rsidR="00E543E0" w:rsidRPr="007801C7" w:rsidRDefault="00E543E0" w:rsidP="00E543E0">
      <w:pPr>
        <w:jc w:val="both"/>
        <w:rPr>
          <w:rFonts w:ascii="Times New Roman" w:hAnsi="Times New Roman" w:cs="Times New Roman"/>
          <w:b/>
          <w:lang w:val="bg-BG"/>
        </w:rPr>
      </w:pPr>
    </w:p>
    <w:p w:rsidR="00E543E0" w:rsidRPr="007801C7" w:rsidRDefault="00E543E0" w:rsidP="00E543E0">
      <w:pPr>
        <w:jc w:val="both"/>
        <w:rPr>
          <w:rFonts w:ascii="Times New Roman" w:hAnsi="Times New Roman" w:cs="Times New Roman"/>
          <w:b/>
          <w:lang w:val="bg-BG"/>
        </w:rPr>
      </w:pPr>
    </w:p>
    <w:p w:rsidR="00E543E0" w:rsidRPr="007801C7" w:rsidRDefault="00E543E0" w:rsidP="00E543E0">
      <w:pPr>
        <w:jc w:val="both"/>
        <w:rPr>
          <w:rFonts w:ascii="Times New Roman" w:hAnsi="Times New Roman" w:cs="Times New Roman"/>
          <w:b/>
          <w:lang w:val="bg-BG"/>
        </w:rPr>
      </w:pPr>
    </w:p>
    <w:p w:rsidR="00E543E0" w:rsidRPr="007801C7" w:rsidRDefault="00E543E0" w:rsidP="00C31C3F">
      <w:pPr>
        <w:ind w:firstLine="720"/>
        <w:jc w:val="both"/>
        <w:rPr>
          <w:rFonts w:ascii="Times New Roman" w:hAnsi="Times New Roman" w:cs="Times New Roman"/>
          <w:b/>
          <w:lang w:val="bg-BG"/>
        </w:rPr>
      </w:pPr>
      <w:r w:rsidRPr="007801C7">
        <w:rPr>
          <w:rFonts w:ascii="Times New Roman" w:hAnsi="Times New Roman" w:cs="Times New Roman"/>
          <w:b/>
          <w:lang w:val="bg-BG"/>
        </w:rPr>
        <w:t>Уважаеми госпожи и господа,</w:t>
      </w:r>
    </w:p>
    <w:p w:rsidR="00E543E0" w:rsidRPr="007801C7" w:rsidRDefault="00E543E0" w:rsidP="00E543E0">
      <w:pPr>
        <w:jc w:val="both"/>
        <w:rPr>
          <w:rFonts w:ascii="Times New Roman" w:hAnsi="Times New Roman" w:cs="Times New Roman"/>
          <w:lang w:val="bg-BG"/>
        </w:rPr>
      </w:pPr>
    </w:p>
    <w:p w:rsidR="00E543E0" w:rsidRPr="007801C7" w:rsidRDefault="00C31C3F" w:rsidP="00C31C3F">
      <w:pPr>
        <w:ind w:firstLine="720"/>
        <w:jc w:val="both"/>
        <w:rPr>
          <w:rFonts w:ascii="Times New Roman" w:hAnsi="Times New Roman" w:cs="Times New Roman"/>
          <w:lang w:val="bg-BG"/>
        </w:rPr>
      </w:pPr>
      <w:r w:rsidRPr="007801C7">
        <w:rPr>
          <w:rFonts w:ascii="Times New Roman" w:hAnsi="Times New Roman" w:cs="Times New Roman"/>
          <w:lang w:val="bg-BG"/>
        </w:rPr>
        <w:t>Във връзка с постъпили</w:t>
      </w:r>
      <w:r w:rsidR="00F74C16" w:rsidRPr="007801C7">
        <w:rPr>
          <w:rFonts w:ascii="Times New Roman" w:hAnsi="Times New Roman" w:cs="Times New Roman"/>
          <w:lang w:val="bg-BG"/>
        </w:rPr>
        <w:t xml:space="preserve"> по електронна поща</w:t>
      </w:r>
      <w:r w:rsidRPr="007801C7">
        <w:rPr>
          <w:rFonts w:ascii="Times New Roman" w:hAnsi="Times New Roman" w:cs="Times New Roman"/>
          <w:lang w:val="bg-BG"/>
        </w:rPr>
        <w:t xml:space="preserve"> искания</w:t>
      </w:r>
      <w:r w:rsidR="00E543E0" w:rsidRPr="007801C7">
        <w:rPr>
          <w:rFonts w:ascii="Times New Roman" w:hAnsi="Times New Roman" w:cs="Times New Roman"/>
          <w:lang w:val="bg-BG"/>
        </w:rPr>
        <w:t xml:space="preserve"> за разяснение по документация</w:t>
      </w:r>
      <w:r w:rsidR="00F74C16" w:rsidRPr="007801C7">
        <w:rPr>
          <w:rFonts w:ascii="Times New Roman" w:hAnsi="Times New Roman" w:cs="Times New Roman"/>
          <w:lang w:val="bg-BG"/>
        </w:rPr>
        <w:t xml:space="preserve"> вх.№№70-00-270/08.04.2014 и 70-00-272/09.04.2014</w:t>
      </w:r>
      <w:r w:rsidR="00E543E0" w:rsidRPr="007801C7">
        <w:rPr>
          <w:rFonts w:ascii="Times New Roman" w:hAnsi="Times New Roman" w:cs="Times New Roman"/>
          <w:lang w:val="bg-BG"/>
        </w:rPr>
        <w:t xml:space="preserve"> за участие в процедура за възлагане на обществена поръчка с предмет: “Изпълнение на строителни и монтажни работи по проект “Зелена и достъпна среда на град Гоце Делчев”, финансиран по Оперативна програма “Регионално развитие” 2007-2013г.”, на основание чл. 29, ал. 1 от Закона за обществените поръчки, Ви уведомяваме следното:</w:t>
      </w:r>
    </w:p>
    <w:p w:rsidR="00E543E0" w:rsidRPr="007801C7" w:rsidRDefault="00E543E0" w:rsidP="00E543E0">
      <w:pPr>
        <w:jc w:val="both"/>
        <w:rPr>
          <w:rFonts w:ascii="Times New Roman" w:hAnsi="Times New Roman" w:cs="Times New Roman"/>
          <w:lang w:val="bg-BG"/>
        </w:rPr>
      </w:pPr>
    </w:p>
    <w:p w:rsidR="00185C11" w:rsidRPr="007801C7" w:rsidRDefault="00185C11" w:rsidP="00E543E0">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D6094E" w:rsidRPr="007801C7">
        <w:rPr>
          <w:rFonts w:ascii="Times New Roman" w:hAnsi="Times New Roman" w:cs="Times New Roman"/>
          <w:b/>
          <w:lang w:val="bg-BG"/>
        </w:rPr>
        <w:t>№</w:t>
      </w:r>
      <w:r w:rsidRPr="007801C7">
        <w:rPr>
          <w:rFonts w:ascii="Times New Roman" w:hAnsi="Times New Roman" w:cs="Times New Roman"/>
          <w:b/>
          <w:lang w:val="bg-BG"/>
        </w:rPr>
        <w:t>1</w:t>
      </w:r>
      <w:r w:rsidR="00D6094E" w:rsidRPr="007801C7">
        <w:rPr>
          <w:rFonts w:ascii="Times New Roman" w:hAnsi="Times New Roman" w:cs="Times New Roman"/>
          <w:b/>
          <w:lang w:val="bg-BG"/>
        </w:rPr>
        <w:t>:</w:t>
      </w:r>
    </w:p>
    <w:p w:rsidR="00D6094E" w:rsidRPr="007801C7" w:rsidRDefault="00D6094E" w:rsidP="00185C11">
      <w:pPr>
        <w:jc w:val="both"/>
        <w:rPr>
          <w:rFonts w:ascii="Times New Roman" w:hAnsi="Times New Roman" w:cs="Times New Roman"/>
          <w:i/>
          <w:lang w:val="bg-BG"/>
        </w:rPr>
      </w:pPr>
      <w:r w:rsidRPr="007801C7">
        <w:rPr>
          <w:rFonts w:ascii="Times New Roman" w:hAnsi="Times New Roman" w:cs="Times New Roman"/>
          <w:i/>
          <w:lang w:val="bg-BG"/>
        </w:rPr>
        <w:t>„</w:t>
      </w:r>
      <w:r w:rsidR="00185C11" w:rsidRPr="007801C7">
        <w:rPr>
          <w:rFonts w:ascii="Times New Roman" w:hAnsi="Times New Roman" w:cs="Times New Roman"/>
          <w:i/>
          <w:lang w:val="bg-BG"/>
        </w:rPr>
        <w:t>В Образец №3 „Техническа оферта за участие", в т.2 А)</w:t>
      </w:r>
      <w:r w:rsidR="00093A3B" w:rsidRPr="007801C7">
        <w:rPr>
          <w:rFonts w:ascii="Times New Roman" w:hAnsi="Times New Roman" w:cs="Times New Roman"/>
          <w:i/>
          <w:lang w:val="bg-BG"/>
        </w:rPr>
        <w:t xml:space="preserve"> </w:t>
      </w:r>
      <w:r w:rsidR="00185C11" w:rsidRPr="007801C7">
        <w:rPr>
          <w:rFonts w:ascii="Times New Roman" w:hAnsi="Times New Roman" w:cs="Times New Roman"/>
          <w:i/>
          <w:lang w:val="bg-BG"/>
        </w:rPr>
        <w:t>и Б) относно „Гаранционни срокове...", Възложителя изисква да бъде посочена „Фирмена гаранция".</w:t>
      </w:r>
      <w:r w:rsidRPr="007801C7">
        <w:rPr>
          <w:rFonts w:ascii="Times New Roman" w:hAnsi="Times New Roman" w:cs="Times New Roman"/>
          <w:i/>
          <w:lang w:val="bg-BG"/>
        </w:rPr>
        <w:t xml:space="preserve"> </w:t>
      </w:r>
    </w:p>
    <w:p w:rsidR="00185C11" w:rsidRPr="007801C7" w:rsidRDefault="00185C11" w:rsidP="00185C11">
      <w:pPr>
        <w:jc w:val="both"/>
        <w:rPr>
          <w:rFonts w:ascii="Times New Roman" w:hAnsi="Times New Roman" w:cs="Times New Roman"/>
          <w:lang w:val="bg-BG"/>
        </w:rPr>
      </w:pPr>
      <w:r w:rsidRPr="007801C7">
        <w:rPr>
          <w:rFonts w:ascii="Times New Roman" w:hAnsi="Times New Roman" w:cs="Times New Roman"/>
          <w:i/>
          <w:lang w:val="bg-BG"/>
        </w:rPr>
        <w:t>Моля, Възложителя да поясни, цитираната „Фирмена гаранция", от чие име се декларира и в каква форма да бъде?</w:t>
      </w:r>
      <w:r w:rsidR="00D6094E" w:rsidRPr="007801C7">
        <w:rPr>
          <w:rFonts w:ascii="Times New Roman" w:hAnsi="Times New Roman" w:cs="Times New Roman"/>
          <w:i/>
          <w:lang w:val="bg-BG"/>
        </w:rPr>
        <w:t>”</w:t>
      </w:r>
    </w:p>
    <w:p w:rsidR="00185C11" w:rsidRPr="007801C7" w:rsidRDefault="00185C11" w:rsidP="00185C11">
      <w:pPr>
        <w:jc w:val="both"/>
        <w:rPr>
          <w:rFonts w:ascii="Times New Roman" w:hAnsi="Times New Roman" w:cs="Times New Roman"/>
          <w:lang w:val="bg-BG"/>
        </w:rPr>
      </w:pPr>
    </w:p>
    <w:p w:rsidR="00185C11" w:rsidRPr="007801C7" w:rsidRDefault="00D70CD0" w:rsidP="00185C11">
      <w:pPr>
        <w:jc w:val="both"/>
        <w:rPr>
          <w:rFonts w:ascii="Times New Roman" w:hAnsi="Times New Roman" w:cs="Times New Roman"/>
          <w:b/>
          <w:lang w:val="bg-BG"/>
        </w:rPr>
      </w:pPr>
      <w:r w:rsidRPr="007801C7">
        <w:rPr>
          <w:rFonts w:ascii="Times New Roman" w:hAnsi="Times New Roman" w:cs="Times New Roman"/>
          <w:b/>
          <w:lang w:val="bg-BG"/>
        </w:rPr>
        <w:t xml:space="preserve">Отговор </w:t>
      </w:r>
      <w:r w:rsidR="00D6094E" w:rsidRPr="007801C7">
        <w:rPr>
          <w:rFonts w:ascii="Times New Roman" w:hAnsi="Times New Roman" w:cs="Times New Roman"/>
          <w:b/>
          <w:lang w:val="bg-BG"/>
        </w:rPr>
        <w:t>на въпрос №</w:t>
      </w:r>
      <w:r w:rsidRPr="007801C7">
        <w:rPr>
          <w:rFonts w:ascii="Times New Roman" w:hAnsi="Times New Roman" w:cs="Times New Roman"/>
          <w:b/>
          <w:lang w:val="bg-BG"/>
        </w:rPr>
        <w:t>1</w:t>
      </w:r>
      <w:r w:rsidR="00D6094E" w:rsidRPr="007801C7">
        <w:rPr>
          <w:rFonts w:ascii="Times New Roman" w:hAnsi="Times New Roman" w:cs="Times New Roman"/>
          <w:b/>
          <w:lang w:val="bg-BG"/>
        </w:rPr>
        <w:t>:</w:t>
      </w:r>
    </w:p>
    <w:p w:rsidR="00185C11" w:rsidRPr="007801C7" w:rsidRDefault="00185C11" w:rsidP="00185C11">
      <w:pPr>
        <w:jc w:val="both"/>
        <w:rPr>
          <w:rFonts w:ascii="Times New Roman" w:hAnsi="Times New Roman" w:cs="Times New Roman"/>
          <w:lang w:val="bg-BG"/>
        </w:rPr>
      </w:pPr>
      <w:r w:rsidRPr="007801C7">
        <w:rPr>
          <w:rFonts w:ascii="Times New Roman" w:hAnsi="Times New Roman" w:cs="Times New Roman"/>
          <w:lang w:val="bg-BG"/>
        </w:rPr>
        <w:t xml:space="preserve">Предложението за размера на </w:t>
      </w:r>
      <w:r w:rsidRPr="007801C7">
        <w:rPr>
          <w:rFonts w:ascii="Times New Roman" w:hAnsi="Times New Roman" w:cs="Times New Roman"/>
          <w:color w:val="000000"/>
          <w:lang w:val="bg-BG"/>
        </w:rPr>
        <w:t>гаранционните сроко</w:t>
      </w:r>
      <w:r w:rsidR="00C31C3F" w:rsidRPr="007801C7">
        <w:rPr>
          <w:rFonts w:ascii="Times New Roman" w:hAnsi="Times New Roman" w:cs="Times New Roman"/>
          <w:color w:val="000000"/>
          <w:lang w:val="bg-BG"/>
        </w:rPr>
        <w:t xml:space="preserve">ве за изпълнените видове работи, включени в предмета </w:t>
      </w:r>
      <w:r w:rsidRPr="007801C7">
        <w:rPr>
          <w:rFonts w:ascii="Times New Roman" w:hAnsi="Times New Roman" w:cs="Times New Roman"/>
          <w:color w:val="000000"/>
          <w:lang w:val="bg-BG"/>
        </w:rPr>
        <w:t>на поръчката</w:t>
      </w:r>
      <w:r w:rsidR="00C31C3F" w:rsidRPr="007801C7">
        <w:rPr>
          <w:rFonts w:ascii="Times New Roman" w:hAnsi="Times New Roman" w:cs="Times New Roman"/>
          <w:color w:val="000000"/>
          <w:lang w:val="bg-BG"/>
        </w:rPr>
        <w:t>,</w:t>
      </w:r>
      <w:r w:rsidRPr="007801C7">
        <w:rPr>
          <w:rFonts w:ascii="Times New Roman" w:hAnsi="Times New Roman" w:cs="Times New Roman"/>
          <w:color w:val="000000"/>
          <w:lang w:val="bg-BG"/>
        </w:rPr>
        <w:t xml:space="preserve"> се попълва на посочените места в т. 2 от </w:t>
      </w:r>
      <w:r w:rsidRPr="007801C7">
        <w:rPr>
          <w:rFonts w:ascii="Times New Roman" w:hAnsi="Times New Roman" w:cs="Times New Roman"/>
          <w:lang w:val="bg-BG"/>
        </w:rPr>
        <w:t>Техническата оферта (Образец №3</w:t>
      </w:r>
      <w:r w:rsidR="00C31C3F" w:rsidRPr="007801C7">
        <w:rPr>
          <w:rFonts w:ascii="Times New Roman" w:hAnsi="Times New Roman" w:cs="Times New Roman"/>
          <w:lang w:val="bg-BG"/>
        </w:rPr>
        <w:t>),</w:t>
      </w:r>
      <w:r w:rsidRPr="007801C7">
        <w:rPr>
          <w:rFonts w:ascii="Times New Roman" w:hAnsi="Times New Roman" w:cs="Times New Roman"/>
          <w:lang w:val="bg-BG"/>
        </w:rPr>
        <w:t xml:space="preserve"> конкретно по б</w:t>
      </w:r>
      <w:r w:rsidR="00D70CD0" w:rsidRPr="007801C7">
        <w:rPr>
          <w:rFonts w:ascii="Times New Roman" w:hAnsi="Times New Roman" w:cs="Times New Roman"/>
          <w:lang w:val="bg-BG"/>
        </w:rPr>
        <w:t xml:space="preserve">. “А” се попълва празното място, посочено за т. 8 от Наредба № 2/31.07.2003, а  </w:t>
      </w:r>
      <w:r w:rsidR="00C31C3F" w:rsidRPr="007801C7">
        <w:rPr>
          <w:rFonts w:ascii="Times New Roman" w:hAnsi="Times New Roman" w:cs="Times New Roman"/>
          <w:lang w:val="bg-BG"/>
        </w:rPr>
        <w:t>по б. “Б” се попълва</w:t>
      </w:r>
      <w:r w:rsidR="00D70CD0" w:rsidRPr="007801C7">
        <w:rPr>
          <w:rFonts w:ascii="Times New Roman" w:hAnsi="Times New Roman" w:cs="Times New Roman"/>
          <w:lang w:val="bg-BG"/>
        </w:rPr>
        <w:t xml:space="preserve"> празното място</w:t>
      </w:r>
      <w:r w:rsidR="00C31C3F" w:rsidRPr="007801C7">
        <w:rPr>
          <w:rFonts w:ascii="Times New Roman" w:hAnsi="Times New Roman" w:cs="Times New Roman"/>
          <w:lang w:val="bg-BG"/>
        </w:rPr>
        <w:t>,</w:t>
      </w:r>
      <w:r w:rsidR="00D70CD0" w:rsidRPr="007801C7">
        <w:rPr>
          <w:rFonts w:ascii="Times New Roman" w:hAnsi="Times New Roman" w:cs="Times New Roman"/>
          <w:lang w:val="bg-BG"/>
        </w:rPr>
        <w:t xml:space="preserve"> посочено пред думата “години”. Гаранционните срокове се предлагат от участника, който подава офертата за участие в процедурата.</w:t>
      </w:r>
    </w:p>
    <w:p w:rsidR="00D70CD0" w:rsidRPr="007801C7" w:rsidRDefault="00D70CD0" w:rsidP="00185C11">
      <w:pPr>
        <w:jc w:val="both"/>
        <w:rPr>
          <w:rFonts w:ascii="Times New Roman" w:hAnsi="Times New Roman" w:cs="Times New Roman"/>
          <w:lang w:val="bg-BG"/>
        </w:rPr>
      </w:pPr>
    </w:p>
    <w:p w:rsidR="00D70CD0" w:rsidRPr="007801C7" w:rsidRDefault="00D70CD0" w:rsidP="00185C11">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D6094E" w:rsidRPr="007801C7">
        <w:rPr>
          <w:rFonts w:ascii="Times New Roman" w:hAnsi="Times New Roman" w:cs="Times New Roman"/>
          <w:b/>
          <w:lang w:val="bg-BG"/>
        </w:rPr>
        <w:t>№</w:t>
      </w:r>
      <w:r w:rsidRPr="007801C7">
        <w:rPr>
          <w:rFonts w:ascii="Times New Roman" w:hAnsi="Times New Roman" w:cs="Times New Roman"/>
          <w:b/>
          <w:lang w:val="bg-BG"/>
        </w:rPr>
        <w:t>2</w:t>
      </w:r>
      <w:r w:rsidR="00D6094E" w:rsidRPr="007801C7">
        <w:rPr>
          <w:rFonts w:ascii="Times New Roman" w:hAnsi="Times New Roman" w:cs="Times New Roman"/>
          <w:b/>
          <w:lang w:val="bg-BG"/>
        </w:rPr>
        <w:t>:</w:t>
      </w:r>
    </w:p>
    <w:p w:rsidR="00185C11" w:rsidRPr="007801C7" w:rsidRDefault="00D6094E" w:rsidP="00185C11">
      <w:pPr>
        <w:jc w:val="both"/>
        <w:rPr>
          <w:rFonts w:ascii="Times New Roman" w:hAnsi="Times New Roman" w:cs="Times New Roman"/>
          <w:b/>
          <w:i/>
          <w:lang w:val="bg-BG"/>
        </w:rPr>
      </w:pPr>
      <w:r w:rsidRPr="007801C7">
        <w:rPr>
          <w:rFonts w:ascii="Times New Roman" w:hAnsi="Times New Roman" w:cs="Times New Roman"/>
          <w:i/>
          <w:lang w:val="bg-BG"/>
        </w:rPr>
        <w:t>„</w:t>
      </w:r>
      <w:r w:rsidR="00185C11" w:rsidRPr="007801C7">
        <w:rPr>
          <w:rFonts w:ascii="Times New Roman" w:hAnsi="Times New Roman" w:cs="Times New Roman"/>
          <w:i/>
          <w:lang w:val="bg-BG"/>
        </w:rPr>
        <w:t>В обявлението в раздел IV.2 „Критерий за оценка на офертите", един от показателите за оценяване е: "Предложен гаранционен срок</w:t>
      </w:r>
      <w:r w:rsidRPr="007801C7">
        <w:rPr>
          <w:rFonts w:ascii="Times New Roman" w:hAnsi="Times New Roman" w:cs="Times New Roman"/>
          <w:i/>
          <w:lang w:val="bg-BG"/>
        </w:rPr>
        <w:t xml:space="preserve"> </w:t>
      </w:r>
      <w:r w:rsidR="00185C11" w:rsidRPr="007801C7">
        <w:rPr>
          <w:rFonts w:ascii="Times New Roman" w:hAnsi="Times New Roman" w:cs="Times New Roman"/>
          <w:i/>
          <w:lang w:val="bg-BG"/>
        </w:rPr>
        <w:t>(Г1 - Предложен гаранционен срок по чл. 20, ал.4, т.8 по Наредба № 2/31.07.2003г. и Г2- предложен гаранционен срок за доставените и монтирани съоръжения).</w:t>
      </w:r>
    </w:p>
    <w:p w:rsidR="00185C11" w:rsidRPr="007801C7" w:rsidRDefault="00185C11" w:rsidP="00185C11">
      <w:pPr>
        <w:jc w:val="both"/>
        <w:rPr>
          <w:rFonts w:ascii="Times New Roman" w:hAnsi="Times New Roman" w:cs="Times New Roman"/>
          <w:i/>
          <w:lang w:val="bg-BG"/>
        </w:rPr>
      </w:pPr>
      <w:r w:rsidRPr="007801C7">
        <w:rPr>
          <w:rFonts w:ascii="Times New Roman" w:hAnsi="Times New Roman" w:cs="Times New Roman"/>
          <w:i/>
          <w:lang w:val="bg-BG"/>
        </w:rPr>
        <w:t>Моля Възложителя, да разясни, как следва да бъдат доказвани гаранционните срокове, за които са посочени стойности над минимално изискуемите, съгласно Наредба №2 от 31.07.2003 г.?</w:t>
      </w:r>
    </w:p>
    <w:p w:rsidR="00185C11" w:rsidRPr="007801C7" w:rsidRDefault="00185C11" w:rsidP="00185C11">
      <w:pPr>
        <w:jc w:val="both"/>
        <w:rPr>
          <w:rFonts w:ascii="Times New Roman" w:hAnsi="Times New Roman" w:cs="Times New Roman"/>
          <w:lang w:val="bg-BG"/>
        </w:rPr>
      </w:pPr>
      <w:r w:rsidRPr="007801C7">
        <w:rPr>
          <w:rFonts w:ascii="Times New Roman" w:hAnsi="Times New Roman" w:cs="Times New Roman"/>
          <w:i/>
          <w:lang w:val="bg-BG"/>
        </w:rPr>
        <w:t>Възложителят ще изисква ли, доказателства от вида гаранционни писма, сертификати и др.подобни, за доказване на гарнционните срокове, касаещи доставените и монтирани съоръжения?</w:t>
      </w:r>
    </w:p>
    <w:p w:rsidR="00D95FA7" w:rsidRPr="007801C7" w:rsidRDefault="00D95FA7" w:rsidP="00185C11">
      <w:pPr>
        <w:jc w:val="both"/>
        <w:rPr>
          <w:rFonts w:ascii="Times New Roman" w:hAnsi="Times New Roman" w:cs="Times New Roman"/>
          <w:lang w:val="bg-BG"/>
        </w:rPr>
      </w:pPr>
    </w:p>
    <w:p w:rsidR="00D95FA7" w:rsidRPr="007801C7" w:rsidRDefault="00D95FA7" w:rsidP="00D95FA7">
      <w:pPr>
        <w:jc w:val="both"/>
        <w:rPr>
          <w:rFonts w:ascii="Times New Roman" w:hAnsi="Times New Roman" w:cs="Times New Roman"/>
          <w:b/>
          <w:lang w:val="bg-BG"/>
        </w:rPr>
      </w:pPr>
      <w:r w:rsidRPr="007801C7">
        <w:rPr>
          <w:rFonts w:ascii="Times New Roman" w:hAnsi="Times New Roman" w:cs="Times New Roman"/>
          <w:b/>
          <w:lang w:val="bg-BG"/>
        </w:rPr>
        <w:lastRenderedPageBreak/>
        <w:t xml:space="preserve">Отговор </w:t>
      </w:r>
      <w:r w:rsidR="00D6094E" w:rsidRPr="007801C7">
        <w:rPr>
          <w:rFonts w:ascii="Times New Roman" w:hAnsi="Times New Roman" w:cs="Times New Roman"/>
          <w:b/>
          <w:lang w:val="bg-BG"/>
        </w:rPr>
        <w:t>на въпрос №</w:t>
      </w:r>
      <w:r w:rsidRPr="007801C7">
        <w:rPr>
          <w:rFonts w:ascii="Times New Roman" w:hAnsi="Times New Roman" w:cs="Times New Roman"/>
          <w:b/>
          <w:lang w:val="bg-BG"/>
        </w:rPr>
        <w:t>2</w:t>
      </w:r>
      <w:r w:rsidR="00D6094E" w:rsidRPr="007801C7">
        <w:rPr>
          <w:rFonts w:ascii="Times New Roman" w:hAnsi="Times New Roman" w:cs="Times New Roman"/>
          <w:b/>
          <w:lang w:val="bg-BG"/>
        </w:rPr>
        <w:t>:</w:t>
      </w:r>
    </w:p>
    <w:p w:rsidR="00E543E0" w:rsidRPr="007801C7" w:rsidRDefault="00D95FA7" w:rsidP="00D95FA7">
      <w:pPr>
        <w:jc w:val="both"/>
        <w:rPr>
          <w:rFonts w:ascii="Times New Roman" w:hAnsi="Times New Roman" w:cs="Times New Roman"/>
          <w:lang w:val="bg-BG"/>
        </w:rPr>
      </w:pPr>
      <w:r w:rsidRPr="007801C7">
        <w:rPr>
          <w:rFonts w:ascii="Times New Roman" w:hAnsi="Times New Roman" w:cs="Times New Roman"/>
          <w:lang w:val="bg-BG"/>
        </w:rPr>
        <w:t xml:space="preserve">Участникът следва </w:t>
      </w:r>
      <w:r w:rsidR="00D6094E" w:rsidRPr="007801C7">
        <w:rPr>
          <w:rFonts w:ascii="Times New Roman" w:hAnsi="Times New Roman" w:cs="Times New Roman"/>
          <w:lang w:val="bg-BG"/>
        </w:rPr>
        <w:t xml:space="preserve">да </w:t>
      </w:r>
      <w:r w:rsidRPr="007801C7">
        <w:rPr>
          <w:rFonts w:ascii="Times New Roman" w:hAnsi="Times New Roman" w:cs="Times New Roman"/>
          <w:lang w:val="bg-BG"/>
        </w:rPr>
        <w:t xml:space="preserve">предложи гаранционен срок относно видовете работи съобразно чл. 20, ал.4, т. 8 от Наредба № 2/31.07.2003г. и гаранционен срок за доставените и монтирани съоръжения по начина, посочен в Образец № 3 Техническа оферта, при спазване на указанията на възложителя относно минималните и максималните гаранционни срокове. </w:t>
      </w:r>
      <w:r w:rsidR="00C31C3F" w:rsidRPr="007801C7">
        <w:rPr>
          <w:rFonts w:ascii="Times New Roman" w:hAnsi="Times New Roman" w:cs="Times New Roman"/>
          <w:lang w:val="bg-BG"/>
        </w:rPr>
        <w:t>В Документацията за участие в процедурата няма предвидено</w:t>
      </w:r>
      <w:r w:rsidRPr="007801C7">
        <w:rPr>
          <w:rFonts w:ascii="Times New Roman" w:hAnsi="Times New Roman" w:cs="Times New Roman"/>
          <w:lang w:val="bg-BG"/>
        </w:rPr>
        <w:t xml:space="preserve"> изискване за предоставяне на гаранционни писма, гранционни сертификати и др. подобни.</w:t>
      </w:r>
    </w:p>
    <w:p w:rsidR="00D95FA7" w:rsidRPr="007801C7" w:rsidRDefault="00D95FA7" w:rsidP="00D95FA7">
      <w:pPr>
        <w:jc w:val="both"/>
        <w:rPr>
          <w:rFonts w:ascii="Times New Roman" w:hAnsi="Times New Roman" w:cs="Times New Roman"/>
          <w:lang w:val="bg-BG"/>
        </w:rPr>
      </w:pPr>
    </w:p>
    <w:p w:rsidR="00D95FA7" w:rsidRPr="007801C7" w:rsidRDefault="00D95FA7" w:rsidP="00D95FA7">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B52622" w:rsidRPr="007801C7">
        <w:rPr>
          <w:rFonts w:ascii="Times New Roman" w:hAnsi="Times New Roman" w:cs="Times New Roman"/>
          <w:b/>
          <w:lang w:val="bg-BG"/>
        </w:rPr>
        <w:t>№</w:t>
      </w:r>
      <w:r w:rsidRPr="007801C7">
        <w:rPr>
          <w:rFonts w:ascii="Times New Roman" w:hAnsi="Times New Roman" w:cs="Times New Roman"/>
          <w:b/>
          <w:lang w:val="bg-BG"/>
        </w:rPr>
        <w:t>3</w:t>
      </w:r>
      <w:r w:rsidR="00B52622" w:rsidRPr="007801C7">
        <w:rPr>
          <w:rFonts w:ascii="Times New Roman" w:hAnsi="Times New Roman" w:cs="Times New Roman"/>
          <w:b/>
          <w:lang w:val="bg-BG"/>
        </w:rPr>
        <w:t>:</w:t>
      </w:r>
    </w:p>
    <w:p w:rsidR="00D95FA7" w:rsidRPr="007801C7" w:rsidRDefault="00B52622" w:rsidP="00D95FA7">
      <w:pPr>
        <w:jc w:val="both"/>
        <w:rPr>
          <w:rFonts w:ascii="Times New Roman" w:hAnsi="Times New Roman" w:cs="Times New Roman"/>
          <w:i/>
          <w:lang w:val="bg-BG"/>
        </w:rPr>
      </w:pPr>
      <w:r w:rsidRPr="007801C7">
        <w:rPr>
          <w:rFonts w:ascii="Times New Roman" w:hAnsi="Times New Roman" w:cs="Times New Roman"/>
          <w:i/>
          <w:lang w:val="bg-BG"/>
        </w:rPr>
        <w:t>„</w:t>
      </w:r>
      <w:r w:rsidR="00D95FA7" w:rsidRPr="007801C7">
        <w:rPr>
          <w:rFonts w:ascii="Times New Roman" w:hAnsi="Times New Roman" w:cs="Times New Roman"/>
          <w:i/>
          <w:lang w:val="bg-BG"/>
        </w:rPr>
        <w:t>В Приложение №2 към предлаганата цена - „Показатели на ценообразуване" Възложителят е посочил, че единичните цени следва да са формирани на база приети разходни норми съгласно УСН/78г., Building manager,</w:t>
      </w:r>
      <w:r w:rsidR="00C31C3F" w:rsidRPr="007801C7">
        <w:rPr>
          <w:rFonts w:ascii="Times New Roman" w:hAnsi="Times New Roman" w:cs="Times New Roman"/>
          <w:i/>
          <w:lang w:val="bg-BG"/>
        </w:rPr>
        <w:t xml:space="preserve"> Гауди. Допуска ли Възложителят</w:t>
      </w:r>
      <w:r w:rsidR="00D95FA7" w:rsidRPr="007801C7">
        <w:rPr>
          <w:rFonts w:ascii="Times New Roman" w:hAnsi="Times New Roman" w:cs="Times New Roman"/>
          <w:i/>
          <w:lang w:val="bg-BG"/>
        </w:rPr>
        <w:t>, участника да предостави единични цени, изготвени на база трудовите норми в строителството или въз основа на собствени вътрешно фи</w:t>
      </w:r>
      <w:r w:rsidR="00C31C3F" w:rsidRPr="007801C7">
        <w:rPr>
          <w:rFonts w:ascii="Times New Roman" w:hAnsi="Times New Roman" w:cs="Times New Roman"/>
          <w:i/>
          <w:lang w:val="bg-BG"/>
        </w:rPr>
        <w:t>р</w:t>
      </w:r>
      <w:r w:rsidR="00D95FA7" w:rsidRPr="007801C7">
        <w:rPr>
          <w:rFonts w:ascii="Times New Roman" w:hAnsi="Times New Roman" w:cs="Times New Roman"/>
          <w:i/>
          <w:lang w:val="bg-BG"/>
        </w:rPr>
        <w:t>мени разработки, основаващи се на подробно заснемане на съответните операции, в които са взети впредвид разходът на труд, материали и механизация, актуални и в съответствие със съвременните технологии и материали и съобразени с методите на полагане, предписани от производителите.</w:t>
      </w:r>
      <w:r w:rsidRPr="007801C7">
        <w:rPr>
          <w:rFonts w:ascii="Times New Roman" w:hAnsi="Times New Roman" w:cs="Times New Roman"/>
          <w:i/>
          <w:lang w:val="bg-BG"/>
        </w:rPr>
        <w:t>”</w:t>
      </w:r>
    </w:p>
    <w:p w:rsidR="004519D7" w:rsidRPr="007801C7" w:rsidRDefault="004519D7" w:rsidP="00D95FA7">
      <w:pPr>
        <w:jc w:val="both"/>
        <w:rPr>
          <w:rFonts w:ascii="Times New Roman" w:hAnsi="Times New Roman" w:cs="Times New Roman"/>
          <w:lang w:val="bg-BG"/>
        </w:rPr>
      </w:pPr>
    </w:p>
    <w:p w:rsidR="004519D7" w:rsidRPr="007801C7" w:rsidRDefault="004519D7" w:rsidP="00D95FA7">
      <w:pPr>
        <w:jc w:val="both"/>
        <w:rPr>
          <w:rFonts w:ascii="Times New Roman" w:hAnsi="Times New Roman" w:cs="Times New Roman"/>
          <w:b/>
          <w:lang w:val="bg-BG"/>
        </w:rPr>
      </w:pPr>
      <w:r w:rsidRPr="007801C7">
        <w:rPr>
          <w:rFonts w:ascii="Times New Roman" w:hAnsi="Times New Roman" w:cs="Times New Roman"/>
          <w:b/>
          <w:lang w:val="bg-BG"/>
        </w:rPr>
        <w:t xml:space="preserve">Отговор </w:t>
      </w:r>
      <w:r w:rsidR="00B52622" w:rsidRPr="007801C7">
        <w:rPr>
          <w:rFonts w:ascii="Times New Roman" w:hAnsi="Times New Roman" w:cs="Times New Roman"/>
          <w:b/>
          <w:lang w:val="bg-BG"/>
        </w:rPr>
        <w:t>на въпрос №</w:t>
      </w:r>
      <w:r w:rsidRPr="007801C7">
        <w:rPr>
          <w:rFonts w:ascii="Times New Roman" w:hAnsi="Times New Roman" w:cs="Times New Roman"/>
          <w:b/>
          <w:lang w:val="bg-BG"/>
        </w:rPr>
        <w:t>3</w:t>
      </w:r>
      <w:r w:rsidR="00B52622" w:rsidRPr="007801C7">
        <w:rPr>
          <w:rFonts w:ascii="Times New Roman" w:hAnsi="Times New Roman" w:cs="Times New Roman"/>
          <w:b/>
          <w:lang w:val="bg-BG"/>
        </w:rPr>
        <w:t>:</w:t>
      </w:r>
    </w:p>
    <w:p w:rsidR="004519D7" w:rsidRPr="007801C7" w:rsidRDefault="004519D7" w:rsidP="00D95FA7">
      <w:pPr>
        <w:jc w:val="both"/>
        <w:rPr>
          <w:rFonts w:ascii="Times New Roman" w:hAnsi="Times New Roman" w:cs="Times New Roman"/>
          <w:iCs/>
          <w:snapToGrid w:val="0"/>
          <w:lang w:val="bg-BG"/>
        </w:rPr>
      </w:pPr>
      <w:r w:rsidRPr="007801C7">
        <w:rPr>
          <w:rFonts w:ascii="Times New Roman" w:hAnsi="Times New Roman" w:cs="Times New Roman"/>
          <w:lang w:val="bg-BG"/>
        </w:rPr>
        <w:t>В Приложение № 2 Показатели за ценообразуване към Предлагана цена (Образец №4) възложителят е посочил, че “</w:t>
      </w:r>
      <w:r w:rsidRPr="007801C7">
        <w:rPr>
          <w:rFonts w:ascii="Times New Roman" w:hAnsi="Times New Roman" w:cs="Times New Roman"/>
          <w:snapToGrid w:val="0"/>
          <w:lang w:val="bg-BG"/>
        </w:rPr>
        <w:t xml:space="preserve">единичните цени на отделите видове строителни и монтажни работи са съставени на база приети разходни норми, гарантиращи качеството на СМР”, а в скоби е направено примерно изброяване на подобни </w:t>
      </w:r>
      <w:r w:rsidR="00C31C3F" w:rsidRPr="007801C7">
        <w:rPr>
          <w:rFonts w:ascii="Times New Roman" w:hAnsi="Times New Roman" w:cs="Times New Roman"/>
          <w:snapToGrid w:val="0"/>
          <w:lang w:val="bg-BG"/>
        </w:rPr>
        <w:t xml:space="preserve">приети </w:t>
      </w:r>
      <w:r w:rsidRPr="007801C7">
        <w:rPr>
          <w:rFonts w:ascii="Times New Roman" w:hAnsi="Times New Roman" w:cs="Times New Roman"/>
          <w:snapToGrid w:val="0"/>
          <w:lang w:val="bg-BG"/>
        </w:rPr>
        <w:t xml:space="preserve">разходни норми: </w:t>
      </w:r>
      <w:r w:rsidRPr="007801C7">
        <w:rPr>
          <w:rFonts w:ascii="Times New Roman" w:hAnsi="Times New Roman" w:cs="Times New Roman"/>
          <w:i/>
          <w:iCs/>
          <w:snapToGrid w:val="0"/>
          <w:lang w:val="bg-BG"/>
        </w:rPr>
        <w:t xml:space="preserve">УСН/78г., “Building manager” или “Гауди”. </w:t>
      </w:r>
      <w:r w:rsidRPr="007801C7">
        <w:rPr>
          <w:rFonts w:ascii="Times New Roman" w:hAnsi="Times New Roman" w:cs="Times New Roman"/>
          <w:iCs/>
          <w:snapToGrid w:val="0"/>
          <w:lang w:val="bg-BG"/>
        </w:rPr>
        <w:t>Участникът може да използва и друга система на приети разходни норми</w:t>
      </w:r>
      <w:r w:rsidR="00C31C3F" w:rsidRPr="007801C7">
        <w:rPr>
          <w:rFonts w:ascii="Times New Roman" w:hAnsi="Times New Roman" w:cs="Times New Roman"/>
          <w:iCs/>
          <w:snapToGrid w:val="0"/>
          <w:lang w:val="bg-BG"/>
        </w:rPr>
        <w:t>, като в този случай трябва да установи, че същата гарантират качеството на СМР.</w:t>
      </w:r>
    </w:p>
    <w:p w:rsidR="004519D7" w:rsidRPr="007801C7" w:rsidRDefault="004519D7" w:rsidP="00D95FA7">
      <w:pPr>
        <w:jc w:val="both"/>
        <w:rPr>
          <w:rFonts w:ascii="Times New Roman" w:hAnsi="Times New Roman" w:cs="Times New Roman"/>
          <w:lang w:val="bg-BG"/>
        </w:rPr>
      </w:pPr>
    </w:p>
    <w:p w:rsidR="004519D7" w:rsidRPr="007801C7" w:rsidRDefault="004519D7" w:rsidP="00D95FA7">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B52622" w:rsidRPr="007801C7">
        <w:rPr>
          <w:rFonts w:ascii="Times New Roman" w:hAnsi="Times New Roman" w:cs="Times New Roman"/>
          <w:b/>
          <w:lang w:val="bg-BG"/>
        </w:rPr>
        <w:t>№</w:t>
      </w:r>
      <w:r w:rsidRPr="007801C7">
        <w:rPr>
          <w:rFonts w:ascii="Times New Roman" w:hAnsi="Times New Roman" w:cs="Times New Roman"/>
          <w:b/>
          <w:lang w:val="bg-BG"/>
        </w:rPr>
        <w:t>4</w:t>
      </w:r>
      <w:r w:rsidR="00B52622" w:rsidRPr="007801C7">
        <w:rPr>
          <w:rFonts w:ascii="Times New Roman" w:hAnsi="Times New Roman" w:cs="Times New Roman"/>
          <w:b/>
          <w:lang w:val="bg-BG"/>
        </w:rPr>
        <w:t>:</w:t>
      </w:r>
    </w:p>
    <w:p w:rsidR="00D95FA7" w:rsidRPr="007801C7" w:rsidRDefault="00B52622" w:rsidP="00D95FA7">
      <w:pPr>
        <w:jc w:val="both"/>
        <w:rPr>
          <w:rFonts w:ascii="Times New Roman" w:hAnsi="Times New Roman" w:cs="Times New Roman"/>
          <w:i/>
          <w:lang w:val="bg-BG"/>
        </w:rPr>
      </w:pPr>
      <w:r w:rsidRPr="007801C7">
        <w:rPr>
          <w:rFonts w:ascii="Times New Roman" w:hAnsi="Times New Roman" w:cs="Times New Roman"/>
          <w:i/>
          <w:lang w:val="bg-BG"/>
        </w:rPr>
        <w:t>„</w:t>
      </w:r>
      <w:r w:rsidR="00D95FA7" w:rsidRPr="007801C7">
        <w:rPr>
          <w:rFonts w:ascii="Times New Roman" w:hAnsi="Times New Roman" w:cs="Times New Roman"/>
          <w:i/>
          <w:lang w:val="bg-BG"/>
        </w:rPr>
        <w:t xml:space="preserve">В Приложение №2, образец </w:t>
      </w:r>
      <w:r w:rsidRPr="007801C7">
        <w:rPr>
          <w:rFonts w:ascii="Times New Roman" w:hAnsi="Times New Roman" w:cs="Times New Roman"/>
          <w:i/>
          <w:lang w:val="bg-BG"/>
        </w:rPr>
        <w:t>3</w:t>
      </w:r>
      <w:r w:rsidR="00D95FA7" w:rsidRPr="007801C7">
        <w:rPr>
          <w:rFonts w:ascii="Times New Roman" w:hAnsi="Times New Roman" w:cs="Times New Roman"/>
          <w:i/>
          <w:lang w:val="bg-BG"/>
        </w:rPr>
        <w:t>а - моля възложителят ясно и изчерпателно да поясни формулата за отчитане на % на физически напредък по месеци и да разясни:</w:t>
      </w:r>
    </w:p>
    <w:p w:rsidR="002F57A7" w:rsidRPr="007801C7" w:rsidRDefault="00D95FA7" w:rsidP="00D95FA7">
      <w:pPr>
        <w:pStyle w:val="ListParagraph"/>
        <w:numPr>
          <w:ilvl w:val="0"/>
          <w:numId w:val="6"/>
        </w:numPr>
        <w:jc w:val="both"/>
        <w:rPr>
          <w:rFonts w:ascii="Times New Roman" w:hAnsi="Times New Roman" w:cs="Times New Roman"/>
          <w:i/>
          <w:lang w:val="bg-BG"/>
        </w:rPr>
      </w:pPr>
      <w:r w:rsidRPr="007801C7">
        <w:rPr>
          <w:rFonts w:ascii="Times New Roman" w:hAnsi="Times New Roman" w:cs="Times New Roman"/>
          <w:i/>
          <w:lang w:val="bg-BG"/>
        </w:rPr>
        <w:t>Какво представлява % на физически напредък?</w:t>
      </w:r>
    </w:p>
    <w:p w:rsidR="002F57A7" w:rsidRPr="007801C7" w:rsidRDefault="00D95FA7" w:rsidP="00D95FA7">
      <w:pPr>
        <w:pStyle w:val="ListParagraph"/>
        <w:numPr>
          <w:ilvl w:val="0"/>
          <w:numId w:val="6"/>
        </w:numPr>
        <w:jc w:val="both"/>
        <w:rPr>
          <w:rFonts w:ascii="Times New Roman" w:hAnsi="Times New Roman" w:cs="Times New Roman"/>
          <w:i/>
          <w:lang w:val="bg-BG"/>
        </w:rPr>
      </w:pPr>
      <w:r w:rsidRPr="007801C7">
        <w:rPr>
          <w:rFonts w:ascii="Times New Roman" w:hAnsi="Times New Roman" w:cs="Times New Roman"/>
          <w:i/>
          <w:lang w:val="bg-BG"/>
        </w:rPr>
        <w:t>На каква база се изчислява % на физически напредък?</w:t>
      </w:r>
    </w:p>
    <w:p w:rsidR="002F57A7" w:rsidRPr="007801C7" w:rsidRDefault="00D95FA7" w:rsidP="00D95FA7">
      <w:pPr>
        <w:pStyle w:val="ListParagraph"/>
        <w:numPr>
          <w:ilvl w:val="0"/>
          <w:numId w:val="6"/>
        </w:numPr>
        <w:jc w:val="both"/>
        <w:rPr>
          <w:rFonts w:ascii="Times New Roman" w:hAnsi="Times New Roman" w:cs="Times New Roman"/>
          <w:i/>
          <w:lang w:val="bg-BG"/>
        </w:rPr>
      </w:pPr>
      <w:r w:rsidRPr="007801C7">
        <w:rPr>
          <w:rFonts w:ascii="Times New Roman" w:hAnsi="Times New Roman" w:cs="Times New Roman"/>
          <w:i/>
          <w:lang w:val="bg-BG"/>
        </w:rPr>
        <w:t>За всички подобекти сумарно ли трябва да се определи % на физически напредък или за отделните поодбекти?</w:t>
      </w:r>
    </w:p>
    <w:p w:rsidR="002F57A7" w:rsidRPr="007801C7" w:rsidRDefault="00D95FA7" w:rsidP="002F57A7">
      <w:pPr>
        <w:pStyle w:val="ListParagraph"/>
        <w:numPr>
          <w:ilvl w:val="0"/>
          <w:numId w:val="6"/>
        </w:numPr>
        <w:jc w:val="both"/>
        <w:rPr>
          <w:rFonts w:ascii="Times New Roman" w:hAnsi="Times New Roman" w:cs="Times New Roman"/>
          <w:i/>
          <w:lang w:val="bg-BG"/>
        </w:rPr>
      </w:pPr>
      <w:r w:rsidRPr="007801C7">
        <w:rPr>
          <w:rFonts w:ascii="Times New Roman" w:hAnsi="Times New Roman" w:cs="Times New Roman"/>
          <w:i/>
          <w:lang w:val="bg-BG"/>
        </w:rPr>
        <w:t>Работната диаграма и диаграмата на механизацията сумарно за целия проект ли да се представят или по строежи?</w:t>
      </w:r>
    </w:p>
    <w:p w:rsidR="00D95FA7" w:rsidRPr="007801C7" w:rsidRDefault="00D95FA7" w:rsidP="002F57A7">
      <w:pPr>
        <w:pStyle w:val="ListParagraph"/>
        <w:numPr>
          <w:ilvl w:val="0"/>
          <w:numId w:val="6"/>
        </w:numPr>
        <w:jc w:val="both"/>
        <w:rPr>
          <w:rFonts w:ascii="Times New Roman" w:hAnsi="Times New Roman" w:cs="Times New Roman"/>
          <w:i/>
          <w:lang w:val="bg-BG"/>
        </w:rPr>
      </w:pPr>
      <w:r w:rsidRPr="007801C7">
        <w:rPr>
          <w:rFonts w:ascii="Times New Roman" w:hAnsi="Times New Roman" w:cs="Times New Roman"/>
          <w:i/>
          <w:lang w:val="bg-BG"/>
        </w:rPr>
        <w:t>Какво има впредвид Възложителят с изискването, Участникът да предостави данните за подобектите в абсолютни стойности - за Работната диаграма и диаграмата на механизацията?</w:t>
      </w:r>
      <w:r w:rsidR="00B52622" w:rsidRPr="007801C7">
        <w:rPr>
          <w:rFonts w:ascii="Times New Roman" w:hAnsi="Times New Roman" w:cs="Times New Roman"/>
          <w:i/>
          <w:lang w:val="bg-BG"/>
        </w:rPr>
        <w:t>”</w:t>
      </w:r>
    </w:p>
    <w:p w:rsidR="00D95FA7" w:rsidRPr="007801C7" w:rsidRDefault="00D95FA7" w:rsidP="00D95FA7">
      <w:pPr>
        <w:jc w:val="both"/>
        <w:rPr>
          <w:rFonts w:ascii="Times New Roman" w:hAnsi="Times New Roman" w:cs="Times New Roman"/>
          <w:lang w:val="bg-BG"/>
        </w:rPr>
      </w:pPr>
    </w:p>
    <w:p w:rsidR="00D95FA7" w:rsidRPr="007801C7" w:rsidRDefault="004519D7" w:rsidP="00D95FA7">
      <w:pPr>
        <w:jc w:val="both"/>
        <w:rPr>
          <w:rFonts w:ascii="Times New Roman" w:hAnsi="Times New Roman" w:cs="Times New Roman"/>
          <w:b/>
          <w:lang w:val="bg-BG"/>
        </w:rPr>
      </w:pPr>
      <w:r w:rsidRPr="007801C7">
        <w:rPr>
          <w:rFonts w:ascii="Times New Roman" w:hAnsi="Times New Roman" w:cs="Times New Roman"/>
          <w:b/>
          <w:lang w:val="bg-BG"/>
        </w:rPr>
        <w:t xml:space="preserve">Отговор </w:t>
      </w:r>
      <w:r w:rsidR="00B52622" w:rsidRPr="007801C7">
        <w:rPr>
          <w:rFonts w:ascii="Times New Roman" w:hAnsi="Times New Roman" w:cs="Times New Roman"/>
          <w:b/>
          <w:lang w:val="bg-BG"/>
        </w:rPr>
        <w:t>на въпрос №</w:t>
      </w:r>
      <w:r w:rsidRPr="007801C7">
        <w:rPr>
          <w:rFonts w:ascii="Times New Roman" w:hAnsi="Times New Roman" w:cs="Times New Roman"/>
          <w:b/>
          <w:lang w:val="bg-BG"/>
        </w:rPr>
        <w:t>4</w:t>
      </w:r>
      <w:r w:rsidR="00B52622" w:rsidRPr="007801C7">
        <w:rPr>
          <w:rFonts w:ascii="Times New Roman" w:hAnsi="Times New Roman" w:cs="Times New Roman"/>
          <w:b/>
          <w:lang w:val="bg-BG"/>
        </w:rPr>
        <w:t>:</w:t>
      </w:r>
    </w:p>
    <w:p w:rsidR="002F57A7" w:rsidRPr="007801C7" w:rsidRDefault="00A4464B" w:rsidP="00A4464B">
      <w:pPr>
        <w:ind w:firstLine="720"/>
        <w:jc w:val="both"/>
        <w:rPr>
          <w:rFonts w:ascii="Times New Roman" w:hAnsi="Times New Roman" w:cs="Times New Roman"/>
          <w:lang w:val="bg-BG"/>
        </w:rPr>
      </w:pPr>
      <w:r w:rsidRPr="007801C7">
        <w:rPr>
          <w:rFonts w:ascii="Times New Roman" w:hAnsi="Times New Roman" w:cs="Times New Roman"/>
          <w:lang w:val="bg-BG"/>
        </w:rPr>
        <w:t>Относно питанията в  т.1, 2, т. 3: в</w:t>
      </w:r>
      <w:r w:rsidR="002F57A7" w:rsidRPr="007801C7">
        <w:rPr>
          <w:rFonts w:ascii="Times New Roman" w:hAnsi="Times New Roman" w:cs="Times New Roman"/>
          <w:lang w:val="bg-BG"/>
        </w:rPr>
        <w:t xml:space="preserve"> Приложение №2</w:t>
      </w:r>
      <w:r w:rsidR="004519D7" w:rsidRPr="007801C7">
        <w:rPr>
          <w:rFonts w:ascii="Times New Roman" w:hAnsi="Times New Roman" w:cs="Times New Roman"/>
          <w:lang w:val="bg-BG"/>
        </w:rPr>
        <w:t xml:space="preserve"> (</w:t>
      </w:r>
      <w:r w:rsidR="002F57A7" w:rsidRPr="007801C7">
        <w:rPr>
          <w:rFonts w:ascii="Times New Roman" w:hAnsi="Times New Roman" w:cs="Times New Roman"/>
          <w:lang w:val="bg-BG"/>
        </w:rPr>
        <w:t xml:space="preserve">образец </w:t>
      </w:r>
      <w:r w:rsidR="004519D7" w:rsidRPr="007801C7">
        <w:rPr>
          <w:rFonts w:ascii="Times New Roman" w:hAnsi="Times New Roman" w:cs="Times New Roman"/>
          <w:lang w:val="bg-BG"/>
        </w:rPr>
        <w:t xml:space="preserve">№ </w:t>
      </w:r>
      <w:r w:rsidR="00B52622" w:rsidRPr="007801C7">
        <w:rPr>
          <w:rFonts w:ascii="Times New Roman" w:hAnsi="Times New Roman" w:cs="Times New Roman"/>
          <w:lang w:val="bg-BG"/>
        </w:rPr>
        <w:t>3</w:t>
      </w:r>
      <w:r w:rsidR="002F57A7" w:rsidRPr="007801C7">
        <w:rPr>
          <w:rFonts w:ascii="Times New Roman" w:hAnsi="Times New Roman" w:cs="Times New Roman"/>
          <w:lang w:val="bg-BG"/>
        </w:rPr>
        <w:t>а</w:t>
      </w:r>
      <w:r w:rsidR="004519D7" w:rsidRPr="007801C7">
        <w:rPr>
          <w:rFonts w:ascii="Times New Roman" w:hAnsi="Times New Roman" w:cs="Times New Roman"/>
          <w:lang w:val="bg-BG"/>
        </w:rPr>
        <w:t>)</w:t>
      </w:r>
      <w:r w:rsidR="002F57A7" w:rsidRPr="007801C7">
        <w:rPr>
          <w:rFonts w:ascii="Times New Roman" w:hAnsi="Times New Roman" w:cs="Times New Roman"/>
          <w:lang w:val="bg-BG"/>
        </w:rPr>
        <w:t xml:space="preserve"> </w:t>
      </w:r>
      <w:r w:rsidR="004519D7" w:rsidRPr="007801C7">
        <w:rPr>
          <w:rFonts w:ascii="Times New Roman" w:hAnsi="Times New Roman" w:cs="Times New Roman"/>
          <w:lang w:val="bg-BG"/>
        </w:rPr>
        <w:t xml:space="preserve">към Техническата оферта, </w:t>
      </w:r>
      <w:r w:rsidR="002F57A7" w:rsidRPr="007801C7">
        <w:rPr>
          <w:rFonts w:ascii="Times New Roman" w:hAnsi="Times New Roman" w:cs="Times New Roman"/>
          <w:lang w:val="bg-BG"/>
        </w:rPr>
        <w:t>в колоната “% на физически напредък” следва да се бъде посочван в проценти обема на изпълнените СМР, спрямо общия обем СМР за съответния строеж. Стойностите се посочват за всеки един от строежите.</w:t>
      </w:r>
    </w:p>
    <w:p w:rsidR="00D95FA7" w:rsidRPr="007801C7" w:rsidRDefault="002F57A7" w:rsidP="00D95FA7">
      <w:pPr>
        <w:jc w:val="both"/>
        <w:rPr>
          <w:rFonts w:ascii="Times New Roman" w:hAnsi="Times New Roman" w:cs="Times New Roman"/>
          <w:lang w:val="bg-BG"/>
        </w:rPr>
      </w:pPr>
      <w:r w:rsidRPr="007801C7">
        <w:rPr>
          <w:rFonts w:ascii="Times New Roman" w:hAnsi="Times New Roman" w:cs="Times New Roman"/>
          <w:lang w:val="bg-BG"/>
        </w:rPr>
        <w:lastRenderedPageBreak/>
        <w:tab/>
      </w:r>
      <w:r w:rsidR="00A4464B" w:rsidRPr="007801C7">
        <w:rPr>
          <w:rFonts w:ascii="Times New Roman" w:hAnsi="Times New Roman" w:cs="Times New Roman"/>
          <w:lang w:val="bg-BG"/>
        </w:rPr>
        <w:t xml:space="preserve">Относно питането по т. 4: </w:t>
      </w:r>
      <w:r w:rsidRPr="007801C7">
        <w:rPr>
          <w:rFonts w:ascii="Times New Roman" w:hAnsi="Times New Roman" w:cs="Times New Roman"/>
          <w:lang w:val="bg-BG"/>
        </w:rPr>
        <w:t>Работната програма и диаграмата на механизация се представят за изпълне</w:t>
      </w:r>
      <w:r w:rsidR="00C31C3F" w:rsidRPr="007801C7">
        <w:rPr>
          <w:rFonts w:ascii="Times New Roman" w:hAnsi="Times New Roman" w:cs="Times New Roman"/>
          <w:lang w:val="bg-BG"/>
        </w:rPr>
        <w:t>нието на предмета на поръчката,</w:t>
      </w:r>
      <w:r w:rsidRPr="007801C7">
        <w:rPr>
          <w:rFonts w:ascii="Times New Roman" w:hAnsi="Times New Roman" w:cs="Times New Roman"/>
          <w:lang w:val="bg-BG"/>
        </w:rPr>
        <w:t xml:space="preserve"> следва да обхващат всички строежи</w:t>
      </w:r>
      <w:r w:rsidR="00E42E45" w:rsidRPr="007801C7">
        <w:rPr>
          <w:rFonts w:ascii="Times New Roman" w:hAnsi="Times New Roman" w:cs="Times New Roman"/>
          <w:lang w:val="bg-BG"/>
        </w:rPr>
        <w:t xml:space="preserve"> и да имат обхват съгласно изискванията на възложителя</w:t>
      </w:r>
      <w:r w:rsidRPr="007801C7">
        <w:rPr>
          <w:rFonts w:ascii="Times New Roman" w:hAnsi="Times New Roman" w:cs="Times New Roman"/>
          <w:lang w:val="bg-BG"/>
        </w:rPr>
        <w:t xml:space="preserve">. </w:t>
      </w:r>
    </w:p>
    <w:p w:rsidR="00A4464B" w:rsidRPr="007801C7" w:rsidRDefault="00A4464B" w:rsidP="00D95FA7">
      <w:pPr>
        <w:jc w:val="both"/>
        <w:rPr>
          <w:rFonts w:ascii="Times New Roman" w:hAnsi="Times New Roman" w:cs="Times New Roman"/>
          <w:lang w:val="bg-BG"/>
        </w:rPr>
      </w:pPr>
      <w:r w:rsidRPr="007801C7">
        <w:rPr>
          <w:rFonts w:ascii="Times New Roman" w:hAnsi="Times New Roman" w:cs="Times New Roman"/>
          <w:lang w:val="bg-BG"/>
        </w:rPr>
        <w:tab/>
      </w:r>
      <w:r w:rsidRPr="007F2687">
        <w:rPr>
          <w:rFonts w:ascii="Times New Roman" w:hAnsi="Times New Roman" w:cs="Times New Roman"/>
          <w:lang w:val="bg-BG"/>
        </w:rPr>
        <w:t>Относно питането по т. 5: Изразът “абсолютни стойности” е използван в пояснения къ</w:t>
      </w:r>
      <w:r w:rsidR="002B0175" w:rsidRPr="007F2687">
        <w:rPr>
          <w:rFonts w:ascii="Times New Roman" w:hAnsi="Times New Roman" w:cs="Times New Roman"/>
          <w:lang w:val="bg-BG"/>
        </w:rPr>
        <w:t>м Методиката за оценка на оферти</w:t>
      </w:r>
      <w:r w:rsidRPr="007F2687">
        <w:rPr>
          <w:rFonts w:ascii="Times New Roman" w:hAnsi="Times New Roman" w:cs="Times New Roman"/>
          <w:lang w:val="bg-BG"/>
        </w:rPr>
        <w:t>т</w:t>
      </w:r>
      <w:r w:rsidR="002B0175" w:rsidRPr="007F2687">
        <w:rPr>
          <w:rFonts w:ascii="Times New Roman" w:hAnsi="Times New Roman" w:cs="Times New Roman"/>
          <w:lang w:val="bg-BG"/>
        </w:rPr>
        <w:t>е</w:t>
      </w:r>
      <w:r w:rsidRPr="007F2687">
        <w:rPr>
          <w:rFonts w:ascii="Times New Roman" w:hAnsi="Times New Roman" w:cs="Times New Roman"/>
          <w:lang w:val="bg-BG"/>
        </w:rPr>
        <w:t xml:space="preserve"> в частта за съпоставка между приложената диаграма на работната ръка и предложения линеен график, съответно между приложената диаграма на работната ръка</w:t>
      </w:r>
      <w:r w:rsidR="002B0175" w:rsidRPr="007F2687">
        <w:rPr>
          <w:rFonts w:ascii="Times New Roman" w:hAnsi="Times New Roman" w:cs="Times New Roman"/>
          <w:lang w:val="bg-BG"/>
        </w:rPr>
        <w:t xml:space="preserve"> и предложения линеен график. Пояснението е относно линейния график</w:t>
      </w:r>
      <w:r w:rsidRPr="007F2687">
        <w:rPr>
          <w:rFonts w:ascii="Times New Roman" w:hAnsi="Times New Roman" w:cs="Times New Roman"/>
          <w:lang w:val="bg-BG"/>
        </w:rPr>
        <w:t xml:space="preserve"> за изпълнение на поръчката и се отнася за стойности</w:t>
      </w:r>
      <w:r w:rsidR="002B0175" w:rsidRPr="007F2687">
        <w:rPr>
          <w:rFonts w:ascii="Times New Roman" w:hAnsi="Times New Roman" w:cs="Times New Roman"/>
          <w:lang w:val="bg-BG"/>
        </w:rPr>
        <w:t xml:space="preserve">те, които следва </w:t>
      </w:r>
      <w:r w:rsidR="00B52622" w:rsidRPr="007F2687">
        <w:rPr>
          <w:rFonts w:ascii="Times New Roman" w:hAnsi="Times New Roman" w:cs="Times New Roman"/>
          <w:lang w:val="bg-BG"/>
        </w:rPr>
        <w:t xml:space="preserve">да </w:t>
      </w:r>
      <w:r w:rsidRPr="007F2687">
        <w:rPr>
          <w:rFonts w:ascii="Times New Roman" w:hAnsi="Times New Roman" w:cs="Times New Roman"/>
          <w:lang w:val="bg-BG"/>
        </w:rPr>
        <w:t xml:space="preserve">бъдат посочени от участника </w:t>
      </w:r>
      <w:r w:rsidR="002B0175" w:rsidRPr="007F2687">
        <w:rPr>
          <w:rFonts w:ascii="Times New Roman" w:hAnsi="Times New Roman" w:cs="Times New Roman"/>
          <w:lang w:val="bg-BG"/>
        </w:rPr>
        <w:t xml:space="preserve">в този документ, в колоните, посочени в образец № 6а, да са конкретни числа, които </w:t>
      </w:r>
      <w:r w:rsidRPr="007F2687">
        <w:rPr>
          <w:rFonts w:ascii="Times New Roman" w:hAnsi="Times New Roman" w:cs="Times New Roman"/>
          <w:lang w:val="bg-BG"/>
        </w:rPr>
        <w:t>да са безусловни.</w:t>
      </w:r>
      <w:bookmarkStart w:id="0" w:name="_GoBack"/>
      <w:bookmarkEnd w:id="0"/>
    </w:p>
    <w:p w:rsidR="00E42E45" w:rsidRPr="007801C7" w:rsidRDefault="00E42E45" w:rsidP="00D95FA7">
      <w:pPr>
        <w:jc w:val="both"/>
        <w:rPr>
          <w:rFonts w:ascii="Times New Roman" w:hAnsi="Times New Roman" w:cs="Times New Roman"/>
          <w:lang w:val="bg-BG"/>
        </w:rPr>
      </w:pPr>
    </w:p>
    <w:p w:rsidR="00E42E45" w:rsidRPr="007801C7" w:rsidRDefault="00C31C3F" w:rsidP="00D95FA7">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BC4358" w:rsidRPr="007801C7">
        <w:rPr>
          <w:rFonts w:ascii="Times New Roman" w:hAnsi="Times New Roman" w:cs="Times New Roman"/>
          <w:b/>
          <w:lang w:val="bg-BG"/>
        </w:rPr>
        <w:t>№</w:t>
      </w:r>
      <w:r w:rsidRPr="007801C7">
        <w:rPr>
          <w:rFonts w:ascii="Times New Roman" w:hAnsi="Times New Roman" w:cs="Times New Roman"/>
          <w:b/>
          <w:lang w:val="bg-BG"/>
        </w:rPr>
        <w:t>5</w:t>
      </w:r>
      <w:r w:rsidR="00BC4358" w:rsidRPr="007801C7">
        <w:rPr>
          <w:rFonts w:ascii="Times New Roman" w:hAnsi="Times New Roman" w:cs="Times New Roman"/>
          <w:b/>
          <w:lang w:val="bg-BG"/>
        </w:rPr>
        <w:t>:</w:t>
      </w:r>
    </w:p>
    <w:p w:rsidR="00E42E45" w:rsidRPr="007801C7" w:rsidRDefault="00BC4358" w:rsidP="00E42E45">
      <w:pPr>
        <w:jc w:val="both"/>
        <w:rPr>
          <w:rFonts w:ascii="Times New Roman" w:hAnsi="Times New Roman" w:cs="Times New Roman"/>
          <w:i/>
          <w:lang w:val="bg-BG"/>
        </w:rPr>
      </w:pPr>
      <w:r w:rsidRPr="007801C7">
        <w:rPr>
          <w:rFonts w:ascii="Times New Roman" w:hAnsi="Times New Roman" w:cs="Times New Roman"/>
          <w:i/>
          <w:lang w:val="bg-BG"/>
        </w:rPr>
        <w:t>„</w:t>
      </w:r>
      <w:r w:rsidR="00E42E45" w:rsidRPr="007801C7">
        <w:rPr>
          <w:rFonts w:ascii="Times New Roman" w:hAnsi="Times New Roman" w:cs="Times New Roman"/>
          <w:i/>
          <w:lang w:val="bg-BG"/>
        </w:rPr>
        <w:t>В Приложение №1 - Количествено - стойностна сметка:</w:t>
      </w:r>
    </w:p>
    <w:p w:rsidR="00E42E45" w:rsidRPr="007801C7" w:rsidRDefault="00E42E45" w:rsidP="00E42E45">
      <w:pPr>
        <w:jc w:val="both"/>
        <w:rPr>
          <w:rFonts w:ascii="Times New Roman" w:hAnsi="Times New Roman" w:cs="Times New Roman"/>
          <w:i/>
          <w:lang w:val="bg-BG"/>
        </w:rPr>
      </w:pPr>
      <w:r w:rsidRPr="007801C7">
        <w:rPr>
          <w:rFonts w:ascii="Times New Roman" w:hAnsi="Times New Roman" w:cs="Times New Roman"/>
          <w:i/>
          <w:lang w:val="bg-BG"/>
        </w:rPr>
        <w:t>Възложителят е указал непредвидени разходи (т. IV) в размер на 77 092,92лв. Това ли са непредвидените раздоди, които всеки участник следва да посочи в офертата си?</w:t>
      </w:r>
      <w:r w:rsidR="00BC4358" w:rsidRPr="007801C7">
        <w:rPr>
          <w:rFonts w:ascii="Times New Roman" w:hAnsi="Times New Roman" w:cs="Times New Roman"/>
          <w:i/>
          <w:lang w:val="bg-BG"/>
        </w:rPr>
        <w:t>”</w:t>
      </w:r>
    </w:p>
    <w:p w:rsidR="00E42E45" w:rsidRPr="007801C7" w:rsidRDefault="00E42E45" w:rsidP="00E42E45">
      <w:pPr>
        <w:jc w:val="both"/>
        <w:rPr>
          <w:rFonts w:ascii="Times New Roman" w:hAnsi="Times New Roman" w:cs="Times New Roman"/>
          <w:lang w:val="bg-BG"/>
        </w:rPr>
      </w:pPr>
    </w:p>
    <w:p w:rsidR="00E42E45" w:rsidRPr="007801C7" w:rsidRDefault="00EC3D03" w:rsidP="00E42E45">
      <w:pPr>
        <w:spacing w:line="240" w:lineRule="exact"/>
        <w:rPr>
          <w:rFonts w:ascii="Times New Roman" w:eastAsia="Times New Roman" w:hAnsi="Times New Roman" w:cs="Times New Roman"/>
          <w:b/>
          <w:sz w:val="20"/>
          <w:szCs w:val="20"/>
          <w:lang w:val="bg-BG"/>
        </w:rPr>
      </w:pPr>
      <w:r w:rsidRPr="007801C7">
        <w:rPr>
          <w:rFonts w:ascii="Times New Roman" w:hAnsi="Times New Roman" w:cs="Times New Roman"/>
          <w:b/>
          <w:lang w:val="bg-BG"/>
        </w:rPr>
        <w:t xml:space="preserve">Отговор </w:t>
      </w:r>
      <w:r w:rsidR="00BC4358" w:rsidRPr="007801C7">
        <w:rPr>
          <w:rFonts w:ascii="Times New Roman" w:hAnsi="Times New Roman" w:cs="Times New Roman"/>
          <w:b/>
          <w:lang w:val="bg-BG"/>
        </w:rPr>
        <w:t>на въпрос №</w:t>
      </w:r>
      <w:r w:rsidR="00C31C3F" w:rsidRPr="007801C7">
        <w:rPr>
          <w:rFonts w:ascii="Times New Roman" w:hAnsi="Times New Roman" w:cs="Times New Roman"/>
          <w:b/>
          <w:lang w:val="bg-BG"/>
        </w:rPr>
        <w:t>5</w:t>
      </w:r>
      <w:r w:rsidR="00BC4358" w:rsidRPr="007801C7">
        <w:rPr>
          <w:rFonts w:ascii="Times New Roman" w:hAnsi="Times New Roman" w:cs="Times New Roman"/>
          <w:b/>
          <w:lang w:val="bg-BG"/>
        </w:rPr>
        <w:t>:</w:t>
      </w:r>
    </w:p>
    <w:p w:rsidR="00EC3D03" w:rsidRPr="007801C7" w:rsidRDefault="00EC3D03" w:rsidP="00EC3D03">
      <w:pPr>
        <w:jc w:val="both"/>
        <w:rPr>
          <w:rFonts w:ascii="Times New Roman" w:hAnsi="Times New Roman" w:cs="Times New Roman"/>
          <w:lang w:val="bg-BG"/>
        </w:rPr>
      </w:pPr>
      <w:r w:rsidRPr="007801C7">
        <w:rPr>
          <w:rFonts w:ascii="Times New Roman" w:hAnsi="Times New Roman" w:cs="Times New Roman"/>
          <w:lang w:val="bg-BG"/>
        </w:rPr>
        <w:t xml:space="preserve">В Приложение № 1 Количествено –стойностна сметка към Предлагана цена (Образец №4) е включен ред “Непредвидени разходи”  на стойност </w:t>
      </w:r>
      <w:r w:rsidR="00BC4358" w:rsidRPr="007801C7">
        <w:rPr>
          <w:rFonts w:ascii="Times New Roman" w:hAnsi="Times New Roman" w:cs="Times New Roman"/>
          <w:lang w:val="bg-BG"/>
        </w:rPr>
        <w:t>77 092,</w:t>
      </w:r>
      <w:r w:rsidRPr="007801C7">
        <w:rPr>
          <w:rFonts w:ascii="Times New Roman" w:hAnsi="Times New Roman" w:cs="Times New Roman"/>
          <w:lang w:val="bg-BG"/>
        </w:rPr>
        <w:t>97, който не следва да се променя от участниците.</w:t>
      </w:r>
    </w:p>
    <w:p w:rsidR="00EC3D03" w:rsidRPr="007801C7" w:rsidRDefault="00EC3D03" w:rsidP="00EC3D03">
      <w:pPr>
        <w:jc w:val="both"/>
        <w:rPr>
          <w:rFonts w:ascii="Times New Roman" w:hAnsi="Times New Roman" w:cs="Times New Roman"/>
          <w:lang w:val="bg-BG"/>
        </w:rPr>
      </w:pPr>
    </w:p>
    <w:p w:rsidR="00EC3D03" w:rsidRPr="007801C7" w:rsidRDefault="00EC3D03" w:rsidP="00EC3D03">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BC4358" w:rsidRPr="007801C7">
        <w:rPr>
          <w:rFonts w:ascii="Times New Roman" w:hAnsi="Times New Roman" w:cs="Times New Roman"/>
          <w:b/>
          <w:lang w:val="bg-BG"/>
        </w:rPr>
        <w:t>№</w:t>
      </w:r>
      <w:r w:rsidR="00C31C3F" w:rsidRPr="007801C7">
        <w:rPr>
          <w:rFonts w:ascii="Times New Roman" w:hAnsi="Times New Roman" w:cs="Times New Roman"/>
          <w:b/>
          <w:lang w:val="bg-BG"/>
        </w:rPr>
        <w:t>6</w:t>
      </w:r>
      <w:r w:rsidR="00BC4358" w:rsidRPr="007801C7">
        <w:rPr>
          <w:rFonts w:ascii="Times New Roman" w:hAnsi="Times New Roman" w:cs="Times New Roman"/>
          <w:b/>
          <w:lang w:val="bg-BG"/>
        </w:rPr>
        <w:t>:</w:t>
      </w:r>
    </w:p>
    <w:p w:rsidR="00EC3D03" w:rsidRPr="007801C7" w:rsidRDefault="00BC4358" w:rsidP="004519D7">
      <w:pPr>
        <w:jc w:val="both"/>
        <w:rPr>
          <w:rFonts w:ascii="Times New Roman" w:hAnsi="Times New Roman" w:cs="Times New Roman"/>
          <w:i/>
          <w:lang w:val="bg-BG"/>
        </w:rPr>
      </w:pPr>
      <w:r w:rsidRPr="007801C7">
        <w:rPr>
          <w:rFonts w:ascii="Times New Roman" w:hAnsi="Times New Roman" w:cs="Times New Roman"/>
          <w:i/>
          <w:lang w:val="bg-BG"/>
        </w:rPr>
        <w:t>„</w:t>
      </w:r>
      <w:r w:rsidR="00EC3D03" w:rsidRPr="007801C7">
        <w:rPr>
          <w:rFonts w:ascii="Times New Roman" w:hAnsi="Times New Roman" w:cs="Times New Roman"/>
          <w:i/>
          <w:lang w:val="bg-BG"/>
        </w:rPr>
        <w:t>В предадения от възложителя в тръжната документация xls файл са нанесени формули от Възложителя, които не са със закръгляване до втория знак. Допуска ли Възложителя, Участника да форматира таблиците със закръгление на формулите до втория знак?</w:t>
      </w:r>
      <w:r w:rsidRPr="007801C7">
        <w:rPr>
          <w:rFonts w:ascii="Times New Roman" w:hAnsi="Times New Roman" w:cs="Times New Roman"/>
          <w:i/>
          <w:lang w:val="bg-BG"/>
        </w:rPr>
        <w:t>”</w:t>
      </w:r>
    </w:p>
    <w:p w:rsidR="00E42E45" w:rsidRPr="007801C7" w:rsidRDefault="00E42E45" w:rsidP="00D95FA7">
      <w:pPr>
        <w:jc w:val="both"/>
        <w:rPr>
          <w:rFonts w:ascii="Times New Roman" w:hAnsi="Times New Roman" w:cs="Times New Roman"/>
          <w:lang w:val="bg-BG"/>
        </w:rPr>
      </w:pPr>
    </w:p>
    <w:p w:rsidR="004519D7" w:rsidRPr="007801C7" w:rsidRDefault="004519D7" w:rsidP="00D95FA7">
      <w:pPr>
        <w:jc w:val="both"/>
        <w:rPr>
          <w:rFonts w:ascii="Times New Roman" w:hAnsi="Times New Roman" w:cs="Times New Roman"/>
          <w:b/>
          <w:lang w:val="bg-BG"/>
        </w:rPr>
      </w:pPr>
      <w:r w:rsidRPr="007801C7">
        <w:rPr>
          <w:rFonts w:ascii="Times New Roman" w:hAnsi="Times New Roman" w:cs="Times New Roman"/>
          <w:b/>
          <w:lang w:val="bg-BG"/>
        </w:rPr>
        <w:t>Отговор</w:t>
      </w:r>
      <w:r w:rsidR="00BC4358" w:rsidRPr="007801C7">
        <w:rPr>
          <w:rFonts w:ascii="Times New Roman" w:hAnsi="Times New Roman" w:cs="Times New Roman"/>
          <w:b/>
          <w:lang w:val="bg-BG"/>
        </w:rPr>
        <w:t xml:space="preserve"> на въпрос №</w:t>
      </w:r>
      <w:r w:rsidRPr="007801C7">
        <w:rPr>
          <w:rFonts w:ascii="Times New Roman" w:hAnsi="Times New Roman" w:cs="Times New Roman"/>
          <w:b/>
          <w:lang w:val="bg-BG"/>
        </w:rPr>
        <w:t xml:space="preserve"> </w:t>
      </w:r>
      <w:r w:rsidR="00C31C3F" w:rsidRPr="007801C7">
        <w:rPr>
          <w:rFonts w:ascii="Times New Roman" w:hAnsi="Times New Roman" w:cs="Times New Roman"/>
          <w:b/>
          <w:lang w:val="bg-BG"/>
        </w:rPr>
        <w:t>6</w:t>
      </w:r>
      <w:r w:rsidR="00BC4358" w:rsidRPr="007801C7">
        <w:rPr>
          <w:rFonts w:ascii="Times New Roman" w:hAnsi="Times New Roman" w:cs="Times New Roman"/>
          <w:b/>
          <w:lang w:val="bg-BG"/>
        </w:rPr>
        <w:t>:</w:t>
      </w:r>
    </w:p>
    <w:p w:rsidR="004519D7" w:rsidRPr="007801C7" w:rsidRDefault="004519D7" w:rsidP="00D95FA7">
      <w:pPr>
        <w:jc w:val="both"/>
        <w:rPr>
          <w:rFonts w:ascii="Times New Roman" w:hAnsi="Times New Roman" w:cs="Times New Roman"/>
          <w:lang w:val="bg-BG"/>
        </w:rPr>
      </w:pPr>
      <w:r w:rsidRPr="007801C7">
        <w:rPr>
          <w:rFonts w:ascii="Times New Roman" w:hAnsi="Times New Roman" w:cs="Times New Roman"/>
          <w:lang w:val="bg-BG"/>
        </w:rPr>
        <w:t>Сумите, попълнени в Приложение № 1 Количествено –стойностна сметка към Предлагана цена (Образец №4) се закръгляват до втория знак.</w:t>
      </w:r>
    </w:p>
    <w:p w:rsidR="00953E2A" w:rsidRPr="007801C7" w:rsidRDefault="00953E2A" w:rsidP="00D95FA7">
      <w:pPr>
        <w:jc w:val="both"/>
        <w:rPr>
          <w:rFonts w:ascii="Times New Roman" w:hAnsi="Times New Roman" w:cs="Times New Roman"/>
          <w:lang w:val="bg-BG"/>
        </w:rPr>
      </w:pPr>
    </w:p>
    <w:p w:rsidR="00953E2A" w:rsidRPr="007801C7" w:rsidRDefault="00953E2A" w:rsidP="00D95FA7">
      <w:pPr>
        <w:jc w:val="both"/>
        <w:rPr>
          <w:rFonts w:ascii="Times New Roman" w:hAnsi="Times New Roman" w:cs="Times New Roman"/>
          <w:b/>
          <w:lang w:val="bg-BG"/>
        </w:rPr>
      </w:pPr>
      <w:r w:rsidRPr="007801C7">
        <w:rPr>
          <w:rFonts w:ascii="Times New Roman" w:hAnsi="Times New Roman" w:cs="Times New Roman"/>
          <w:b/>
          <w:lang w:val="bg-BG"/>
        </w:rPr>
        <w:t xml:space="preserve">Въпрос </w:t>
      </w:r>
      <w:r w:rsidR="00BC4358" w:rsidRPr="007801C7">
        <w:rPr>
          <w:rFonts w:ascii="Times New Roman" w:hAnsi="Times New Roman" w:cs="Times New Roman"/>
          <w:b/>
          <w:lang w:val="bg-BG"/>
        </w:rPr>
        <w:t>№</w:t>
      </w:r>
      <w:r w:rsidRPr="007801C7">
        <w:rPr>
          <w:rFonts w:ascii="Times New Roman" w:hAnsi="Times New Roman" w:cs="Times New Roman"/>
          <w:b/>
          <w:lang w:val="bg-BG"/>
        </w:rPr>
        <w:t>7</w:t>
      </w:r>
      <w:r w:rsidR="00BC4358" w:rsidRPr="007801C7">
        <w:rPr>
          <w:rFonts w:ascii="Times New Roman" w:hAnsi="Times New Roman" w:cs="Times New Roman"/>
          <w:b/>
          <w:lang w:val="bg-BG"/>
        </w:rPr>
        <w:t>:</w:t>
      </w:r>
    </w:p>
    <w:p w:rsidR="00E42E45" w:rsidRPr="007801C7" w:rsidRDefault="00BC4358" w:rsidP="00D95FA7">
      <w:pPr>
        <w:jc w:val="both"/>
        <w:rPr>
          <w:rFonts w:ascii="Times New Roman" w:hAnsi="Times New Roman" w:cs="Times New Roman"/>
          <w:i/>
          <w:lang w:val="bg-BG"/>
        </w:rPr>
      </w:pPr>
      <w:r w:rsidRPr="007801C7">
        <w:rPr>
          <w:rFonts w:ascii="Times New Roman" w:hAnsi="Times New Roman" w:cs="Times New Roman"/>
          <w:i/>
          <w:lang w:val="bg-BG"/>
        </w:rPr>
        <w:t>„</w:t>
      </w:r>
      <w:r w:rsidR="00953E2A" w:rsidRPr="007801C7">
        <w:rPr>
          <w:rFonts w:ascii="Times New Roman" w:hAnsi="Times New Roman" w:cs="Times New Roman"/>
          <w:i/>
          <w:lang w:val="bg-BG"/>
        </w:rPr>
        <w:t>В проектите по част: Пътна-Проект за организация на движението- постоянна организация на движението са отбелязани видовете пътни знаци и вида на хоризонталната маркировка. Моля Възложителят да поясни как Участника да остойности позиция „Доставка и монтаж на стандартни пътни знаци“, като от чертежите е видно, че за 1 бр. стойка на някои места се монтира 1 брой пътен знак, на други- 2 броя, а на някои места и по 3 броя</w:t>
      </w:r>
      <w:r w:rsidRPr="007801C7">
        <w:rPr>
          <w:rFonts w:ascii="Times New Roman" w:hAnsi="Times New Roman" w:cs="Times New Roman"/>
          <w:i/>
          <w:lang w:val="bg-BG"/>
        </w:rPr>
        <w:t>”</w:t>
      </w:r>
    </w:p>
    <w:p w:rsidR="00953E2A" w:rsidRPr="007801C7" w:rsidRDefault="00953E2A" w:rsidP="00D95FA7">
      <w:pPr>
        <w:jc w:val="both"/>
        <w:rPr>
          <w:rFonts w:ascii="Times New Roman" w:hAnsi="Times New Roman" w:cs="Times New Roman"/>
          <w:lang w:val="bg-BG"/>
        </w:rPr>
      </w:pPr>
    </w:p>
    <w:p w:rsidR="00D95FA7" w:rsidRPr="007801C7" w:rsidRDefault="00953E2A" w:rsidP="00D95FA7">
      <w:pPr>
        <w:jc w:val="both"/>
        <w:rPr>
          <w:rFonts w:ascii="Times New Roman" w:hAnsi="Times New Roman" w:cs="Times New Roman"/>
          <w:b/>
          <w:lang w:val="bg-BG"/>
        </w:rPr>
      </w:pPr>
      <w:r w:rsidRPr="007801C7">
        <w:rPr>
          <w:rFonts w:ascii="Times New Roman" w:hAnsi="Times New Roman" w:cs="Times New Roman"/>
          <w:b/>
          <w:lang w:val="bg-BG"/>
        </w:rPr>
        <w:t xml:space="preserve">Отговор </w:t>
      </w:r>
      <w:r w:rsidR="00BC4358" w:rsidRPr="007801C7">
        <w:rPr>
          <w:rFonts w:ascii="Times New Roman" w:hAnsi="Times New Roman" w:cs="Times New Roman"/>
          <w:b/>
          <w:lang w:val="bg-BG"/>
        </w:rPr>
        <w:t>на въпрос №</w:t>
      </w:r>
      <w:r w:rsidRPr="007801C7">
        <w:rPr>
          <w:rFonts w:ascii="Times New Roman" w:hAnsi="Times New Roman" w:cs="Times New Roman"/>
          <w:b/>
          <w:lang w:val="bg-BG"/>
        </w:rPr>
        <w:t>7</w:t>
      </w:r>
      <w:r w:rsidR="00BC4358" w:rsidRPr="007801C7">
        <w:rPr>
          <w:rFonts w:ascii="Times New Roman" w:hAnsi="Times New Roman" w:cs="Times New Roman"/>
          <w:b/>
          <w:lang w:val="bg-BG"/>
        </w:rPr>
        <w:t>:</w:t>
      </w:r>
    </w:p>
    <w:p w:rsidR="00D70CD0" w:rsidRPr="007801C7" w:rsidRDefault="00953E2A" w:rsidP="00953E2A">
      <w:pPr>
        <w:jc w:val="both"/>
        <w:rPr>
          <w:rFonts w:ascii="Times New Roman" w:hAnsi="Times New Roman" w:cs="Times New Roman"/>
          <w:lang w:val="bg-BG"/>
        </w:rPr>
      </w:pPr>
      <w:r w:rsidRPr="007801C7">
        <w:rPr>
          <w:rFonts w:ascii="Times New Roman" w:hAnsi="Times New Roman" w:cs="Times New Roman"/>
          <w:lang w:val="bg-BG"/>
        </w:rPr>
        <w:t xml:space="preserve">Проектът за постоянна организация на движението е съгласуван с писмо изх.№ 17143/02.04.2013г. на ОД на МВР Благоевград и участниците следва стриктно да се придържат към него при изготвянето на офертите си. Участниците следва да оферират единична цена за 1 бр.пътен знак по позиции с наименование "Доставка и монтаж на стандартни пътни знаци, включително доставка и монтаж на стойки за пътни знаци" от КСС, като предвидят спазването на всички нормативните изисквания за отстояние от бордюр и минимална височина от </w:t>
      </w:r>
      <w:r w:rsidRPr="007801C7">
        <w:rPr>
          <w:rFonts w:ascii="Times New Roman" w:hAnsi="Times New Roman" w:cs="Times New Roman"/>
          <w:lang w:val="bg-BG"/>
        </w:rPr>
        <w:lastRenderedPageBreak/>
        <w:t>настилката в населени места, посочени в обяснителната записка  към проекта. В единичната цена за доставка и монтаж на 1 бр.пътен знак следва да бъдат калкулирани единичната цена на знака с необходимата дължина на пътна стойка, включващи всички разходи за доставка и монтаж и в зависимост от това дали пътния знак се монтира самостоятелно или с други пътни знаци.</w:t>
      </w:r>
    </w:p>
    <w:p w:rsidR="00953E2A" w:rsidRPr="007801C7" w:rsidRDefault="00953E2A" w:rsidP="00953E2A">
      <w:pPr>
        <w:jc w:val="both"/>
        <w:rPr>
          <w:rFonts w:ascii="Times New Roman" w:hAnsi="Times New Roman" w:cs="Times New Roman"/>
          <w:lang w:val="bg-BG"/>
        </w:rPr>
      </w:pPr>
    </w:p>
    <w:p w:rsidR="00953E2A" w:rsidRPr="007801C7" w:rsidRDefault="00F74C16" w:rsidP="00953E2A">
      <w:pPr>
        <w:jc w:val="both"/>
        <w:rPr>
          <w:rFonts w:ascii="Times New Roman" w:hAnsi="Times New Roman" w:cs="Times New Roman"/>
          <w:b/>
          <w:lang w:val="bg-BG"/>
        </w:rPr>
      </w:pPr>
      <w:r w:rsidRPr="007801C7">
        <w:rPr>
          <w:rFonts w:ascii="Times New Roman" w:hAnsi="Times New Roman" w:cs="Times New Roman"/>
          <w:b/>
          <w:lang w:val="bg-BG"/>
        </w:rPr>
        <w:t>Въпрос</w:t>
      </w:r>
      <w:r w:rsidR="00BC4358" w:rsidRPr="007801C7">
        <w:rPr>
          <w:rFonts w:ascii="Times New Roman" w:hAnsi="Times New Roman" w:cs="Times New Roman"/>
          <w:b/>
          <w:lang w:val="bg-BG"/>
        </w:rPr>
        <w:t xml:space="preserve"> №</w:t>
      </w:r>
      <w:r w:rsidRPr="007801C7">
        <w:rPr>
          <w:rFonts w:ascii="Times New Roman" w:hAnsi="Times New Roman" w:cs="Times New Roman"/>
          <w:b/>
          <w:lang w:val="bg-BG"/>
        </w:rPr>
        <w:t>8</w:t>
      </w:r>
      <w:r w:rsidR="00BC4358" w:rsidRPr="007801C7">
        <w:rPr>
          <w:rFonts w:ascii="Times New Roman" w:hAnsi="Times New Roman" w:cs="Times New Roman"/>
          <w:b/>
          <w:lang w:val="bg-BG"/>
        </w:rPr>
        <w:t>:</w:t>
      </w:r>
    </w:p>
    <w:p w:rsidR="00F74C16" w:rsidRPr="007801C7" w:rsidRDefault="00BC4358" w:rsidP="00953E2A">
      <w:pPr>
        <w:jc w:val="both"/>
        <w:rPr>
          <w:rFonts w:ascii="Times New Roman" w:hAnsi="Times New Roman" w:cs="Times New Roman"/>
          <w:i/>
          <w:lang w:val="bg-BG"/>
        </w:rPr>
      </w:pPr>
      <w:r w:rsidRPr="007801C7">
        <w:rPr>
          <w:rFonts w:ascii="Times New Roman" w:hAnsi="Times New Roman" w:cs="Times New Roman"/>
          <w:i/>
          <w:lang w:val="bg-BG"/>
        </w:rPr>
        <w:t>„</w:t>
      </w:r>
      <w:r w:rsidR="00F74C16" w:rsidRPr="007801C7">
        <w:rPr>
          <w:rFonts w:ascii="Times New Roman" w:hAnsi="Times New Roman" w:cs="Times New Roman"/>
          <w:i/>
          <w:lang w:val="bg-BG"/>
        </w:rPr>
        <w:t>Моля Възложителят да уточни за извозването на излишните земни маси и строителни отпадъци има ли регламентирано депо, какви са таксите за депониране и следва ли да бъдат включени в единичните цени за извозване на земни маси/строителни отпадъци.</w:t>
      </w:r>
      <w:r w:rsidRPr="007801C7">
        <w:rPr>
          <w:rFonts w:ascii="Times New Roman" w:hAnsi="Times New Roman" w:cs="Times New Roman"/>
          <w:i/>
          <w:lang w:val="bg-BG"/>
        </w:rPr>
        <w:t>”</w:t>
      </w:r>
    </w:p>
    <w:p w:rsidR="00F74C16" w:rsidRPr="007801C7" w:rsidRDefault="00F74C16" w:rsidP="00953E2A">
      <w:pPr>
        <w:jc w:val="both"/>
        <w:rPr>
          <w:rFonts w:ascii="Times New Roman" w:hAnsi="Times New Roman" w:cs="Times New Roman"/>
          <w:lang w:val="bg-BG"/>
        </w:rPr>
      </w:pPr>
    </w:p>
    <w:p w:rsidR="00F74C16" w:rsidRPr="007801C7" w:rsidRDefault="00F74C16" w:rsidP="00953E2A">
      <w:pPr>
        <w:jc w:val="both"/>
        <w:rPr>
          <w:rFonts w:ascii="Times New Roman" w:hAnsi="Times New Roman" w:cs="Times New Roman"/>
          <w:b/>
          <w:lang w:val="bg-BG"/>
        </w:rPr>
      </w:pPr>
      <w:r w:rsidRPr="007801C7">
        <w:rPr>
          <w:rFonts w:ascii="Times New Roman" w:hAnsi="Times New Roman" w:cs="Times New Roman"/>
          <w:b/>
          <w:lang w:val="bg-BG"/>
        </w:rPr>
        <w:t xml:space="preserve">Отговор </w:t>
      </w:r>
      <w:r w:rsidR="00BC4358" w:rsidRPr="007801C7">
        <w:rPr>
          <w:rFonts w:ascii="Times New Roman" w:hAnsi="Times New Roman" w:cs="Times New Roman"/>
          <w:b/>
          <w:lang w:val="bg-BG"/>
        </w:rPr>
        <w:t>на въпрос №</w:t>
      </w:r>
      <w:r w:rsidRPr="007801C7">
        <w:rPr>
          <w:rFonts w:ascii="Times New Roman" w:hAnsi="Times New Roman" w:cs="Times New Roman"/>
          <w:b/>
          <w:lang w:val="bg-BG"/>
        </w:rPr>
        <w:t>8</w:t>
      </w:r>
      <w:r w:rsidR="00BC4358" w:rsidRPr="007801C7">
        <w:rPr>
          <w:rFonts w:ascii="Times New Roman" w:hAnsi="Times New Roman" w:cs="Times New Roman"/>
          <w:b/>
          <w:lang w:val="bg-BG"/>
        </w:rPr>
        <w:t>:</w:t>
      </w:r>
    </w:p>
    <w:p w:rsidR="00F74C16" w:rsidRPr="007801C7" w:rsidRDefault="00F74C16" w:rsidP="00F74C16">
      <w:pPr>
        <w:spacing w:before="120" w:after="120"/>
        <w:ind w:firstLine="720"/>
        <w:jc w:val="both"/>
        <w:rPr>
          <w:rFonts w:ascii="Times New Roman" w:eastAsia="Times New Roman" w:hAnsi="Times New Roman" w:cs="Times New Roman"/>
          <w:lang w:val="bg-BG" w:eastAsia="bg-BG"/>
        </w:rPr>
      </w:pPr>
      <w:r w:rsidRPr="007801C7">
        <w:rPr>
          <w:rFonts w:ascii="Times New Roman" w:eastAsia="Times New Roman" w:hAnsi="Times New Roman" w:cs="Times New Roman"/>
          <w:lang w:val="bg-BG" w:eastAsia="bg-BG"/>
        </w:rPr>
        <w:t>„Регионално депо за неопасни отпадъци на общините Гоце Делчев, Гърмен и Хаджидимово” се намира северозападно от гр. Гоце Делчев, местността „Мокра поляна”, землището на с. Добротино, близо до път 198 – Гоце Делчев – Петрич. Разстоянието от улиците, където ще се извършва смяната на водопроводната мрежа, до депото е около 5 км.</w:t>
      </w:r>
    </w:p>
    <w:p w:rsidR="00F74C16" w:rsidRPr="007801C7" w:rsidRDefault="00F74C16" w:rsidP="00F74C16">
      <w:pPr>
        <w:spacing w:before="120" w:after="120"/>
        <w:ind w:firstLine="720"/>
        <w:jc w:val="both"/>
        <w:rPr>
          <w:rFonts w:ascii="Times New Roman" w:eastAsia="Times New Roman" w:hAnsi="Times New Roman" w:cs="Times New Roman"/>
          <w:lang w:val="bg-BG" w:eastAsia="bg-BG"/>
        </w:rPr>
      </w:pPr>
      <w:r w:rsidRPr="007801C7">
        <w:rPr>
          <w:rFonts w:ascii="Times New Roman" w:eastAsia="Times New Roman" w:hAnsi="Times New Roman" w:cs="Times New Roman"/>
          <w:lang w:val="bg-BG" w:eastAsia="bg-BG"/>
        </w:rPr>
        <w:t>Таксите за депониране са както следва:</w:t>
      </w:r>
    </w:p>
    <w:tbl>
      <w:tblPr>
        <w:tblStyle w:val="TableGrid"/>
        <w:tblW w:w="0" w:type="auto"/>
        <w:tblInd w:w="828" w:type="dxa"/>
        <w:tblLook w:val="01E0" w:firstRow="1" w:lastRow="1" w:firstColumn="1" w:lastColumn="1" w:noHBand="0" w:noVBand="0"/>
      </w:tblPr>
      <w:tblGrid>
        <w:gridCol w:w="514"/>
        <w:gridCol w:w="4335"/>
        <w:gridCol w:w="2839"/>
      </w:tblGrid>
      <w:tr w:rsidR="00F74C16" w:rsidRPr="007801C7" w:rsidTr="00F74C16">
        <w:tc>
          <w:tcPr>
            <w:tcW w:w="54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w:t>
            </w:r>
          </w:p>
        </w:tc>
        <w:tc>
          <w:tcPr>
            <w:tcW w:w="510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Вид отпадък</w:t>
            </w:r>
          </w:p>
        </w:tc>
        <w:tc>
          <w:tcPr>
            <w:tcW w:w="3235"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Такса депониране</w:t>
            </w:r>
          </w:p>
        </w:tc>
      </w:tr>
      <w:tr w:rsidR="00F74C16" w:rsidRPr="007801C7" w:rsidTr="00F74C16">
        <w:tc>
          <w:tcPr>
            <w:tcW w:w="54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1.</w:t>
            </w:r>
          </w:p>
        </w:tc>
        <w:tc>
          <w:tcPr>
            <w:tcW w:w="510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строителни отпадъци</w:t>
            </w:r>
          </w:p>
        </w:tc>
        <w:tc>
          <w:tcPr>
            <w:tcW w:w="3235"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1.50 лева за тон</w:t>
            </w:r>
          </w:p>
        </w:tc>
      </w:tr>
      <w:tr w:rsidR="00F74C16" w:rsidRPr="007801C7" w:rsidTr="00F74C16">
        <w:tc>
          <w:tcPr>
            <w:tcW w:w="54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2.</w:t>
            </w:r>
          </w:p>
        </w:tc>
        <w:tc>
          <w:tcPr>
            <w:tcW w:w="510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земни маси примесени с чакъл, филц, баластра, камъни, бетони, асфалт и други</w:t>
            </w:r>
          </w:p>
        </w:tc>
        <w:tc>
          <w:tcPr>
            <w:tcW w:w="3235"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1.50 лева за тон</w:t>
            </w:r>
          </w:p>
        </w:tc>
      </w:tr>
      <w:tr w:rsidR="00F74C16" w:rsidRPr="007801C7" w:rsidTr="00F74C16">
        <w:tc>
          <w:tcPr>
            <w:tcW w:w="54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3.</w:t>
            </w:r>
          </w:p>
        </w:tc>
        <w:tc>
          <w:tcPr>
            <w:tcW w:w="5100"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чисти земни маси</w:t>
            </w:r>
          </w:p>
        </w:tc>
        <w:tc>
          <w:tcPr>
            <w:tcW w:w="3235" w:type="dxa"/>
            <w:tcBorders>
              <w:top w:val="single" w:sz="4" w:space="0" w:color="auto"/>
              <w:left w:val="single" w:sz="4" w:space="0" w:color="auto"/>
              <w:bottom w:val="single" w:sz="4" w:space="0" w:color="auto"/>
              <w:right w:val="single" w:sz="4" w:space="0" w:color="auto"/>
            </w:tcBorders>
            <w:hideMark/>
          </w:tcPr>
          <w:p w:rsidR="00F74C16" w:rsidRPr="007801C7" w:rsidRDefault="00F74C16" w:rsidP="00F74C16">
            <w:pPr>
              <w:jc w:val="both"/>
            </w:pPr>
            <w:r w:rsidRPr="007801C7">
              <w:t>без такса</w:t>
            </w:r>
          </w:p>
        </w:tc>
      </w:tr>
    </w:tbl>
    <w:p w:rsidR="00F74C16" w:rsidRPr="007801C7" w:rsidRDefault="00BC4358" w:rsidP="00BC4358">
      <w:pPr>
        <w:spacing w:before="120" w:after="120"/>
        <w:jc w:val="both"/>
        <w:rPr>
          <w:rFonts w:ascii="Times New Roman" w:eastAsia="Times New Roman" w:hAnsi="Times New Roman" w:cs="Times New Roman"/>
          <w:lang w:val="bg-BG" w:eastAsia="bg-BG"/>
        </w:rPr>
      </w:pPr>
      <w:r w:rsidRPr="007801C7">
        <w:rPr>
          <w:rFonts w:ascii="Times New Roman" w:eastAsia="Times New Roman" w:hAnsi="Times New Roman" w:cs="Times New Roman"/>
          <w:lang w:val="bg-BG" w:eastAsia="bg-BG"/>
        </w:rPr>
        <w:t xml:space="preserve">В оферираните единични цени на СМР, участниците включват всички разходи за качественото и цялостно изпълнение на СМР, включително и такси за депониране на строителни отпадъци и земни маси. </w:t>
      </w:r>
    </w:p>
    <w:p w:rsidR="00D70CD0" w:rsidRPr="007801C7" w:rsidRDefault="00D70CD0">
      <w:pPr>
        <w:rPr>
          <w:rFonts w:ascii="Times New Roman" w:hAnsi="Times New Roman" w:cs="Times New Roman"/>
          <w:lang w:val="bg-BG"/>
        </w:rPr>
      </w:pPr>
    </w:p>
    <w:p w:rsidR="00185C11" w:rsidRPr="007801C7" w:rsidRDefault="00185C11">
      <w:pPr>
        <w:rPr>
          <w:rFonts w:ascii="Times New Roman" w:hAnsi="Times New Roman" w:cs="Times New Roman"/>
          <w:lang w:val="bg-BG"/>
        </w:rPr>
      </w:pPr>
    </w:p>
    <w:p w:rsidR="00E543E0" w:rsidRPr="007801C7" w:rsidRDefault="00E543E0" w:rsidP="00E543E0">
      <w:pPr>
        <w:tabs>
          <w:tab w:val="num" w:pos="0"/>
        </w:tabs>
        <w:jc w:val="both"/>
        <w:rPr>
          <w:rFonts w:ascii="Times New Roman" w:hAnsi="Times New Roman" w:cs="Times New Roman"/>
          <w:b/>
          <w:lang w:val="bg-BG"/>
        </w:rPr>
      </w:pPr>
      <w:r w:rsidRPr="007801C7">
        <w:rPr>
          <w:rFonts w:ascii="Times New Roman" w:hAnsi="Times New Roman" w:cs="Times New Roman"/>
          <w:b/>
          <w:lang w:val="bg-BG"/>
        </w:rPr>
        <w:t xml:space="preserve">С уважение, </w:t>
      </w:r>
    </w:p>
    <w:p w:rsidR="00E543E0" w:rsidRPr="007801C7" w:rsidRDefault="00E543E0" w:rsidP="00E543E0">
      <w:pPr>
        <w:tabs>
          <w:tab w:val="num" w:pos="0"/>
        </w:tabs>
        <w:jc w:val="both"/>
        <w:rPr>
          <w:rFonts w:ascii="Times New Roman" w:hAnsi="Times New Roman" w:cs="Times New Roman"/>
          <w:b/>
          <w:sz w:val="20"/>
          <w:szCs w:val="20"/>
          <w:lang w:val="bg-BG"/>
        </w:rPr>
      </w:pPr>
    </w:p>
    <w:p w:rsidR="00E543E0" w:rsidRPr="007801C7" w:rsidRDefault="00E543E0" w:rsidP="00E543E0">
      <w:pPr>
        <w:pStyle w:val="BodyText"/>
        <w:spacing w:after="0"/>
        <w:rPr>
          <w:sz w:val="4"/>
        </w:rPr>
      </w:pPr>
    </w:p>
    <w:p w:rsidR="00E543E0" w:rsidRPr="007801C7" w:rsidRDefault="00E543E0" w:rsidP="00E543E0">
      <w:pPr>
        <w:pStyle w:val="BodyText"/>
        <w:spacing w:after="0"/>
        <w:rPr>
          <w:b/>
        </w:rPr>
      </w:pPr>
      <w:r w:rsidRPr="007801C7">
        <w:rPr>
          <w:b/>
        </w:rPr>
        <w:t xml:space="preserve">ВЛАДИМИР МОСКОВ </w:t>
      </w:r>
    </w:p>
    <w:p w:rsidR="00E543E0" w:rsidRPr="007801C7" w:rsidRDefault="00E543E0" w:rsidP="00E543E0">
      <w:pPr>
        <w:pStyle w:val="BodyText"/>
        <w:spacing w:after="0"/>
        <w:rPr>
          <w:i/>
        </w:rPr>
      </w:pPr>
      <w:r w:rsidRPr="007801C7">
        <w:rPr>
          <w:i/>
        </w:rPr>
        <w:t>Кмет на община Гоце Делчев</w:t>
      </w:r>
    </w:p>
    <w:p w:rsidR="00E543E0" w:rsidRPr="007801C7" w:rsidRDefault="00E543E0">
      <w:pPr>
        <w:rPr>
          <w:rFonts w:ascii="Times New Roman" w:hAnsi="Times New Roman" w:cs="Times New Roman"/>
          <w:lang w:val="bg-BG"/>
        </w:rPr>
      </w:pPr>
    </w:p>
    <w:sectPr w:rsidR="00E543E0" w:rsidRPr="007801C7" w:rsidSect="00EA27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7A5E"/>
    <w:multiLevelType w:val="hybridMultilevel"/>
    <w:tmpl w:val="DE74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552C9"/>
    <w:multiLevelType w:val="multilevel"/>
    <w:tmpl w:val="48928B4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63A51F5"/>
    <w:multiLevelType w:val="multilevel"/>
    <w:tmpl w:val="F224F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53E7DA0"/>
    <w:multiLevelType w:val="singleLevel"/>
    <w:tmpl w:val="8E3AB456"/>
    <w:lvl w:ilvl="0">
      <w:start w:val="1"/>
      <w:numFmt w:val="decimal"/>
      <w:lvlText w:val="%1."/>
      <w:lvlJc w:val="left"/>
    </w:lvl>
  </w:abstractNum>
  <w:abstractNum w:abstractNumId="4">
    <w:nsid w:val="578A17E5"/>
    <w:multiLevelType w:val="hybridMultilevel"/>
    <w:tmpl w:val="D458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12FB1"/>
    <w:multiLevelType w:val="singleLevel"/>
    <w:tmpl w:val="C9A68B64"/>
    <w:lvl w:ilvl="0">
      <w:start w:val="1"/>
      <w:numFmt w:val="decimal"/>
      <w:lvlText w:val="2.%1."/>
      <w:lvlJc w:val="left"/>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2"/>
  </w:compat>
  <w:rsids>
    <w:rsidRoot w:val="00E543E0"/>
    <w:rsid w:val="00093A3B"/>
    <w:rsid w:val="00185C11"/>
    <w:rsid w:val="00192B06"/>
    <w:rsid w:val="002B0175"/>
    <w:rsid w:val="002F57A7"/>
    <w:rsid w:val="004519D7"/>
    <w:rsid w:val="006078C9"/>
    <w:rsid w:val="007801C7"/>
    <w:rsid w:val="007F2687"/>
    <w:rsid w:val="008D0734"/>
    <w:rsid w:val="00953E2A"/>
    <w:rsid w:val="00A4464B"/>
    <w:rsid w:val="00B52622"/>
    <w:rsid w:val="00BC4358"/>
    <w:rsid w:val="00C31C3F"/>
    <w:rsid w:val="00D6094E"/>
    <w:rsid w:val="00D70CD0"/>
    <w:rsid w:val="00D95FA7"/>
    <w:rsid w:val="00E252F5"/>
    <w:rsid w:val="00E42E45"/>
    <w:rsid w:val="00E543E0"/>
    <w:rsid w:val="00EA27C2"/>
    <w:rsid w:val="00EC3D03"/>
    <w:rsid w:val="00F7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43E0"/>
    <w:pPr>
      <w:spacing w:after="120"/>
    </w:pPr>
    <w:rPr>
      <w:rFonts w:ascii="Times New Roman" w:eastAsia="Times New Roman" w:hAnsi="Times New Roman" w:cs="Times New Roman"/>
      <w:lang w:val="bg-BG" w:eastAsia="bg-BG"/>
    </w:rPr>
  </w:style>
  <w:style w:type="character" w:customStyle="1" w:styleId="BodyTextChar">
    <w:name w:val="Body Text Char"/>
    <w:basedOn w:val="DefaultParagraphFont"/>
    <w:link w:val="BodyText"/>
    <w:rsid w:val="00E543E0"/>
    <w:rPr>
      <w:rFonts w:ascii="Times New Roman" w:eastAsia="Times New Roman" w:hAnsi="Times New Roman" w:cs="Times New Roman"/>
      <w:lang w:val="bg-BG" w:eastAsia="bg-BG"/>
    </w:rPr>
  </w:style>
  <w:style w:type="paragraph" w:styleId="ListParagraph">
    <w:name w:val="List Paragraph"/>
    <w:basedOn w:val="Normal"/>
    <w:uiPriority w:val="34"/>
    <w:qFormat/>
    <w:rsid w:val="00D95FA7"/>
    <w:pPr>
      <w:ind w:left="720"/>
      <w:contextualSpacing/>
    </w:pPr>
  </w:style>
  <w:style w:type="table" w:styleId="TableGrid">
    <w:name w:val="Table Grid"/>
    <w:basedOn w:val="TableNormal"/>
    <w:rsid w:val="00F74C16"/>
    <w:rPr>
      <w:rFonts w:ascii="Times New Roman" w:eastAsia="Times New Roma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43E0"/>
    <w:pPr>
      <w:spacing w:after="120"/>
    </w:pPr>
    <w:rPr>
      <w:rFonts w:ascii="Times New Roman" w:eastAsia="Times New Roman" w:hAnsi="Times New Roman" w:cs="Times New Roman"/>
      <w:lang w:val="bg-BG" w:eastAsia="bg-BG"/>
    </w:rPr>
  </w:style>
  <w:style w:type="character" w:customStyle="1" w:styleId="BodyTextChar">
    <w:name w:val="Body Text Char"/>
    <w:basedOn w:val="DefaultParagraphFont"/>
    <w:link w:val="BodyText"/>
    <w:rsid w:val="00E543E0"/>
    <w:rPr>
      <w:rFonts w:ascii="Times New Roman" w:eastAsia="Times New Roman" w:hAnsi="Times New Roman" w:cs="Times New Roman"/>
      <w:lang w:val="bg-BG" w:eastAsia="bg-BG"/>
    </w:rPr>
  </w:style>
  <w:style w:type="paragraph" w:styleId="ListParagraph">
    <w:name w:val="List Paragraph"/>
    <w:basedOn w:val="Normal"/>
    <w:uiPriority w:val="34"/>
    <w:qFormat/>
    <w:rsid w:val="00D95FA7"/>
    <w:pPr>
      <w:ind w:left="720"/>
      <w:contextualSpacing/>
    </w:pPr>
  </w:style>
  <w:style w:type="table" w:styleId="TableGrid">
    <w:name w:val="Table Grid"/>
    <w:basedOn w:val="TableNormal"/>
    <w:rsid w:val="00F74C16"/>
    <w:rPr>
      <w:rFonts w:ascii="Times New Roman" w:eastAsia="Times New Roma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57593">
      <w:bodyDiv w:val="1"/>
      <w:marLeft w:val="0"/>
      <w:marRight w:val="0"/>
      <w:marTop w:val="0"/>
      <w:marBottom w:val="0"/>
      <w:divBdr>
        <w:top w:val="none" w:sz="0" w:space="0" w:color="auto"/>
        <w:left w:val="none" w:sz="0" w:space="0" w:color="auto"/>
        <w:bottom w:val="none" w:sz="0" w:space="0" w:color="auto"/>
        <w:right w:val="none" w:sz="0" w:space="0" w:color="auto"/>
      </w:divBdr>
    </w:div>
    <w:div w:id="1837183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1327</Words>
  <Characters>7570</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Iordanova</dc:creator>
  <cp:lastModifiedBy>marina</cp:lastModifiedBy>
  <cp:revision>6</cp:revision>
  <dcterms:created xsi:type="dcterms:W3CDTF">2014-04-11T06:31:00Z</dcterms:created>
  <dcterms:modified xsi:type="dcterms:W3CDTF">2014-04-11T14:13:00Z</dcterms:modified>
</cp:coreProperties>
</file>